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226E" w:rsidRDefault="00EA226E">
      <w:pPr>
        <w:pStyle w:val="ConsPlusTitle"/>
        <w:jc w:val="center"/>
        <w:outlineLvl w:val="0"/>
      </w:pPr>
      <w:r>
        <w:t>МИНИСТЕРСТВО ФИНАНСОВ РОССИЙСКОЙ ФЕДЕРАЦИИ</w:t>
      </w:r>
    </w:p>
    <w:p w:rsidR="00EA226E" w:rsidRDefault="00EA226E">
      <w:pPr>
        <w:pStyle w:val="ConsPlusTitle"/>
        <w:jc w:val="both"/>
      </w:pPr>
    </w:p>
    <w:p w:rsidR="00EA226E" w:rsidRDefault="00EA226E">
      <w:pPr>
        <w:pStyle w:val="ConsPlusTitle"/>
        <w:jc w:val="center"/>
      </w:pPr>
      <w:r>
        <w:t>ФЕДЕРАЛЬНОЕ КАЗНАЧЕЙСТВО</w:t>
      </w:r>
    </w:p>
    <w:p w:rsidR="00EA226E" w:rsidRDefault="00EA226E">
      <w:pPr>
        <w:pStyle w:val="ConsPlusTitle"/>
        <w:jc w:val="both"/>
      </w:pPr>
    </w:p>
    <w:p w:rsidR="00EA226E" w:rsidRDefault="00EA226E">
      <w:pPr>
        <w:pStyle w:val="ConsPlusTitle"/>
        <w:jc w:val="center"/>
      </w:pPr>
      <w:r>
        <w:t>ПРИКАЗ</w:t>
      </w:r>
    </w:p>
    <w:p w:rsidR="00EA226E" w:rsidRDefault="00EA226E">
      <w:pPr>
        <w:pStyle w:val="ConsPlusTitle"/>
        <w:jc w:val="center"/>
      </w:pPr>
      <w:r>
        <w:t>от 29 сентября 2017 г. N 259</w:t>
      </w:r>
    </w:p>
    <w:p w:rsidR="00EA226E" w:rsidRDefault="00EA226E">
      <w:pPr>
        <w:pStyle w:val="ConsPlusTitle"/>
        <w:jc w:val="both"/>
      </w:pPr>
    </w:p>
    <w:p w:rsidR="00EA226E" w:rsidRDefault="00EA226E">
      <w:pPr>
        <w:pStyle w:val="ConsPlusTitle"/>
        <w:jc w:val="center"/>
      </w:pPr>
      <w:r>
        <w:t>ОБ УТВЕРЖДЕНИИ СТАНДАРТА</w:t>
      </w:r>
    </w:p>
    <w:p w:rsidR="00EA226E" w:rsidRDefault="00EA226E">
      <w:pPr>
        <w:pStyle w:val="ConsPlusTitle"/>
        <w:jc w:val="center"/>
      </w:pPr>
      <w:r>
        <w:t>УПРАВЛЕНИЯ ВНУТРЕННИМИ (ОПЕРАЦИОННЫМИ) КАЗНАЧЕЙСКИМИ</w:t>
      </w:r>
    </w:p>
    <w:p w:rsidR="00EA226E" w:rsidRDefault="00EA226E">
      <w:pPr>
        <w:pStyle w:val="ConsPlusTitle"/>
        <w:jc w:val="center"/>
      </w:pPr>
      <w:r>
        <w:t>РИСКАМИ В ФЕДЕРАЛЬНОМ КАЗНАЧЕЙСТВЕ</w:t>
      </w:r>
    </w:p>
    <w:p w:rsidR="00EA226E" w:rsidRDefault="00EA226E">
      <w:pPr>
        <w:pStyle w:val="ConsPlusNormal"/>
        <w:jc w:val="both"/>
      </w:pPr>
    </w:p>
    <w:p w:rsidR="00EA226E" w:rsidRDefault="00EA226E">
      <w:pPr>
        <w:pStyle w:val="ConsPlusNormal"/>
        <w:ind w:firstLine="540"/>
        <w:jc w:val="both"/>
      </w:pPr>
      <w:proofErr w:type="gramStart"/>
      <w:r>
        <w:t xml:space="preserve">В соответствии с </w:t>
      </w:r>
      <w:hyperlink r:id="rId4" w:history="1">
        <w:r>
          <w:rPr>
            <w:color w:val="0000FF"/>
          </w:rPr>
          <w:t>Программой</w:t>
        </w:r>
      </w:hyperlink>
      <w:r>
        <w:t xml:space="preserve"> повышения эффективности управления общественными (государственными и муниципальными) финансами на период до 2018 года, утвержденной распоряжением Правительства Российской Федерации от 30 декабря 2013 г. N 2593-р, в рамках реализации в Федеральном казначействе, его территориальных органах и федеральном казенном учреждении "Центр по обеспечению деятельности Казначейства России" Концепции управления казначейскими рисками в Федеральном казначействе, утвержденной руководителем Федерального казначейства Р.</w:t>
      </w:r>
      <w:proofErr w:type="gramEnd"/>
      <w:r>
        <w:t xml:space="preserve">Е. </w:t>
      </w:r>
      <w:proofErr w:type="spellStart"/>
      <w:r>
        <w:t>Артюхиным</w:t>
      </w:r>
      <w:proofErr w:type="spellEnd"/>
      <w:r>
        <w:t xml:space="preserve"> </w:t>
      </w:r>
      <w:r w:rsidR="00A508CE">
        <w:br/>
      </w:r>
      <w:r>
        <w:t>3 июня 2015 года, приказываю:</w:t>
      </w:r>
    </w:p>
    <w:p w:rsidR="00EA226E" w:rsidRDefault="00EA226E">
      <w:pPr>
        <w:pStyle w:val="ConsPlusNormal"/>
        <w:spacing w:before="220"/>
        <w:ind w:firstLine="540"/>
        <w:jc w:val="both"/>
      </w:pPr>
      <w:r>
        <w:t xml:space="preserve">1. Утвердить </w:t>
      </w:r>
      <w:hyperlink w:anchor="P28" w:history="1">
        <w:r>
          <w:rPr>
            <w:color w:val="0000FF"/>
          </w:rPr>
          <w:t>Стандарт</w:t>
        </w:r>
      </w:hyperlink>
      <w:r>
        <w:t xml:space="preserve"> управления внутренними (операционными) казначейскими рисками в Федеральном казначействе (далее - Стандарт) согласно приложению к настоящему приказу.</w:t>
      </w:r>
    </w:p>
    <w:p w:rsidR="00EA226E" w:rsidRDefault="00EA226E">
      <w:pPr>
        <w:pStyle w:val="ConsPlusNormal"/>
        <w:spacing w:before="220"/>
        <w:ind w:firstLine="540"/>
        <w:jc w:val="both"/>
      </w:pPr>
      <w:r>
        <w:t xml:space="preserve">2. Управлению совершенствования внутреннего государственного финансового контроля </w:t>
      </w:r>
      <w:r w:rsidR="00A508CE">
        <w:br/>
      </w:r>
      <w:r>
        <w:t>(А.В. Солодов) обеспечить внедрение Стандарта в Федеральном казначействе, его территориальных органах и федеральном казенном учреждении "Центр по обеспечению деятельности Казначейства России".</w:t>
      </w:r>
    </w:p>
    <w:p w:rsidR="00EA226E" w:rsidRDefault="00EA226E">
      <w:pPr>
        <w:pStyle w:val="ConsPlusNormal"/>
        <w:spacing w:before="220"/>
        <w:ind w:firstLine="540"/>
        <w:jc w:val="both"/>
      </w:pPr>
      <w:r>
        <w:t xml:space="preserve">3. </w:t>
      </w:r>
      <w:proofErr w:type="gramStart"/>
      <w:r>
        <w:t>Контроль за</w:t>
      </w:r>
      <w:proofErr w:type="gramEnd"/>
      <w:r>
        <w:t xml:space="preserve"> исполнением настоящего приказа возложить на заместителя руководителя Федерального казначейства А.Ю. Демидова.</w:t>
      </w:r>
    </w:p>
    <w:p w:rsidR="00EA226E" w:rsidRDefault="00EA226E">
      <w:pPr>
        <w:pStyle w:val="ConsPlusNormal"/>
        <w:jc w:val="both"/>
      </w:pPr>
    </w:p>
    <w:p w:rsidR="00EA226E" w:rsidRDefault="00EA226E">
      <w:pPr>
        <w:pStyle w:val="ConsPlusNormal"/>
        <w:jc w:val="right"/>
      </w:pPr>
      <w:r>
        <w:t>Руководитель</w:t>
      </w:r>
    </w:p>
    <w:p w:rsidR="00EA226E" w:rsidRDefault="00EA226E">
      <w:pPr>
        <w:pStyle w:val="ConsPlusNormal"/>
        <w:jc w:val="right"/>
      </w:pPr>
      <w:r>
        <w:t>Р.Е.АРТЮХИН</w:t>
      </w:r>
    </w:p>
    <w:p w:rsidR="00EA226E" w:rsidRDefault="00EA226E">
      <w:pPr>
        <w:pStyle w:val="ConsPlusNormal"/>
        <w:jc w:val="both"/>
      </w:pPr>
    </w:p>
    <w:p w:rsidR="00EA226E" w:rsidRDefault="00EA226E">
      <w:pPr>
        <w:pStyle w:val="ConsPlusNormal"/>
        <w:jc w:val="both"/>
      </w:pPr>
    </w:p>
    <w:p w:rsidR="00EA226E" w:rsidRDefault="00EA226E">
      <w:pPr>
        <w:pStyle w:val="ConsPlusNormal"/>
        <w:jc w:val="both"/>
      </w:pPr>
    </w:p>
    <w:p w:rsidR="00EA226E" w:rsidRDefault="00EA226E">
      <w:pPr>
        <w:pStyle w:val="ConsPlusNormal"/>
        <w:jc w:val="both"/>
      </w:pPr>
    </w:p>
    <w:p w:rsidR="00EA226E" w:rsidRDefault="00EA226E">
      <w:pPr>
        <w:pStyle w:val="ConsPlusNormal"/>
        <w:jc w:val="both"/>
      </w:pPr>
    </w:p>
    <w:p w:rsidR="00EA226E" w:rsidRDefault="00EA226E">
      <w:pPr>
        <w:pStyle w:val="ConsPlusNormal"/>
        <w:jc w:val="right"/>
        <w:outlineLvl w:val="0"/>
      </w:pPr>
      <w:r>
        <w:t>Утвержден</w:t>
      </w:r>
    </w:p>
    <w:p w:rsidR="00EA226E" w:rsidRDefault="00EA226E">
      <w:pPr>
        <w:pStyle w:val="ConsPlusNormal"/>
        <w:jc w:val="right"/>
      </w:pPr>
      <w:r>
        <w:t>приказом Федерального казначейства</w:t>
      </w:r>
    </w:p>
    <w:p w:rsidR="00EA226E" w:rsidRDefault="00EA226E">
      <w:pPr>
        <w:pStyle w:val="ConsPlusNormal"/>
        <w:jc w:val="right"/>
      </w:pPr>
      <w:r>
        <w:t>от 29 сентября 2017 г. N 259</w:t>
      </w:r>
    </w:p>
    <w:p w:rsidR="00EA226E" w:rsidRDefault="00EA226E">
      <w:pPr>
        <w:pStyle w:val="ConsPlusNormal"/>
        <w:jc w:val="both"/>
      </w:pPr>
    </w:p>
    <w:p w:rsidR="00EA226E" w:rsidRDefault="00EA226E">
      <w:pPr>
        <w:pStyle w:val="ConsPlusTitle"/>
        <w:jc w:val="center"/>
      </w:pPr>
      <w:bookmarkStart w:id="0" w:name="P28"/>
      <w:bookmarkEnd w:id="0"/>
      <w:r>
        <w:t>СТАНДАРТ</w:t>
      </w:r>
    </w:p>
    <w:p w:rsidR="00EA226E" w:rsidRDefault="00EA226E">
      <w:pPr>
        <w:pStyle w:val="ConsPlusTitle"/>
        <w:jc w:val="center"/>
      </w:pPr>
      <w:r>
        <w:t>УПРАВЛЕНИЯ ВНУТРЕННИМИ (ОПЕРАЦИОННЫМИ) КАЗНАЧЕЙСКИМИ</w:t>
      </w:r>
    </w:p>
    <w:p w:rsidR="00EA226E" w:rsidRDefault="00EA226E">
      <w:pPr>
        <w:pStyle w:val="ConsPlusTitle"/>
        <w:jc w:val="center"/>
      </w:pPr>
      <w:r>
        <w:t>РИСКАМИ В ФЕДЕРАЛЬНОМ КАЗНАЧЕЙСТВЕ</w:t>
      </w:r>
    </w:p>
    <w:p w:rsidR="00EA226E" w:rsidRDefault="00EA226E">
      <w:pPr>
        <w:pStyle w:val="ConsPlusNormal"/>
        <w:jc w:val="both"/>
      </w:pPr>
    </w:p>
    <w:p w:rsidR="00EA226E" w:rsidRDefault="00EA226E">
      <w:pPr>
        <w:pStyle w:val="ConsPlusTitle"/>
        <w:jc w:val="center"/>
        <w:outlineLvl w:val="1"/>
      </w:pPr>
      <w:r>
        <w:t>I. Общие положения</w:t>
      </w:r>
    </w:p>
    <w:p w:rsidR="00EA226E" w:rsidRDefault="00EA226E">
      <w:pPr>
        <w:pStyle w:val="ConsPlusNormal"/>
        <w:jc w:val="both"/>
      </w:pPr>
    </w:p>
    <w:p w:rsidR="00EA226E" w:rsidRDefault="00EA226E">
      <w:pPr>
        <w:pStyle w:val="ConsPlusNormal"/>
        <w:ind w:firstLine="540"/>
        <w:jc w:val="both"/>
      </w:pPr>
      <w:r>
        <w:t xml:space="preserve">1.1. Стандарт управления внутренними (операционными) казначейскими рисками в Федеральном казначействе (далее - Стандарт) разработан в рамках реализации Концепции управления казначейскими рисками в Федеральном казначействе, утвержденной руководителем Федерального казначейства Р.Е. </w:t>
      </w:r>
      <w:proofErr w:type="spellStart"/>
      <w:r>
        <w:t>Артюхиным</w:t>
      </w:r>
      <w:proofErr w:type="spellEnd"/>
      <w:r>
        <w:t xml:space="preserve"> 3 июня 2015 года, с учетом положений:</w:t>
      </w:r>
    </w:p>
    <w:p w:rsidR="00EA226E" w:rsidRDefault="00EA226E">
      <w:pPr>
        <w:pStyle w:val="ConsPlusNormal"/>
        <w:spacing w:before="220"/>
        <w:ind w:firstLine="540"/>
        <w:jc w:val="both"/>
      </w:pPr>
      <w:hyperlink r:id="rId5" w:history="1">
        <w:proofErr w:type="gramStart"/>
        <w:r>
          <w:rPr>
            <w:color w:val="0000FF"/>
          </w:rPr>
          <w:t>Правил</w:t>
        </w:r>
      </w:hyperlink>
      <w:r>
        <w:t xml:space="preserve"> осуществления главными распорядителями (распорядителями) средств федерального бюджета (бюджета государственного внебюджетного фонда Российской Федерации), главными </w:t>
      </w:r>
      <w:r>
        <w:lastRenderedPageBreak/>
        <w:t>администраторами (администраторами) доходов федерального бюджета (бюджета государственного внебюджетного фонда Российской Федерации), главными администраторами (администраторами) источников финансирования дефицита федерального бюджета (бюджета государственного внебюджетного фонда Российской Федерации) внутреннего финансового контроля и внутреннего финансового аудита, утвержденных постановлением Правительства Российской Федерации от 17 марта 2014 г. N 193 (Собрание</w:t>
      </w:r>
      <w:proofErr w:type="gramEnd"/>
      <w:r>
        <w:t xml:space="preserve"> законодательства Российской Федерации, 2014, N 12, ст. 1290; 2015, N 16, ст. 2393, 2016, N 18, ст. 2632);</w:t>
      </w:r>
    </w:p>
    <w:p w:rsidR="00EA226E" w:rsidRDefault="00EA226E">
      <w:pPr>
        <w:pStyle w:val="ConsPlusNormal"/>
        <w:spacing w:before="220"/>
        <w:ind w:firstLine="540"/>
        <w:jc w:val="both"/>
      </w:pPr>
      <w:r>
        <w:t xml:space="preserve">Национального стандарта Российской Федерации "Менеджмент риска. Принципы и руководство" </w:t>
      </w:r>
      <w:hyperlink r:id="rId6" w:history="1">
        <w:r>
          <w:rPr>
            <w:color w:val="0000FF"/>
          </w:rPr>
          <w:t xml:space="preserve">(ГОСТ </w:t>
        </w:r>
        <w:proofErr w:type="gramStart"/>
        <w:r>
          <w:rPr>
            <w:color w:val="0000FF"/>
          </w:rPr>
          <w:t>Р</w:t>
        </w:r>
        <w:proofErr w:type="gramEnd"/>
        <w:r>
          <w:rPr>
            <w:color w:val="0000FF"/>
          </w:rPr>
          <w:t xml:space="preserve"> ИСО 31000-2010)</w:t>
        </w:r>
      </w:hyperlink>
      <w:r>
        <w:t xml:space="preserve">, утвержденного </w:t>
      </w:r>
      <w:hyperlink r:id="rId7" w:history="1">
        <w:r>
          <w:rPr>
            <w:color w:val="0000FF"/>
          </w:rPr>
          <w:t>приказом</w:t>
        </w:r>
      </w:hyperlink>
      <w:r>
        <w:t xml:space="preserve"> Федерального агентства по техническому регулированию и метрологии от 21 декабря 2010 г. N 883-ст;</w:t>
      </w:r>
    </w:p>
    <w:p w:rsidR="00EA226E" w:rsidRDefault="00EA226E">
      <w:pPr>
        <w:pStyle w:val="ConsPlusNormal"/>
        <w:spacing w:before="220"/>
        <w:ind w:firstLine="540"/>
        <w:jc w:val="both"/>
      </w:pPr>
      <w:r>
        <w:t xml:space="preserve">Национального стандарта Российской Федерации "Менеджмент риска. Методы оценки риска" </w:t>
      </w:r>
      <w:hyperlink r:id="rId8" w:history="1">
        <w:r>
          <w:rPr>
            <w:color w:val="0000FF"/>
          </w:rPr>
          <w:t xml:space="preserve">(ГОСТ </w:t>
        </w:r>
        <w:proofErr w:type="gramStart"/>
        <w:r>
          <w:rPr>
            <w:color w:val="0000FF"/>
          </w:rPr>
          <w:t>Р</w:t>
        </w:r>
        <w:proofErr w:type="gramEnd"/>
        <w:r>
          <w:rPr>
            <w:color w:val="0000FF"/>
          </w:rPr>
          <w:t xml:space="preserve"> ИСО/МЭК 31010-2011)</w:t>
        </w:r>
      </w:hyperlink>
      <w:r>
        <w:t xml:space="preserve">, утвержденного </w:t>
      </w:r>
      <w:hyperlink r:id="rId9" w:history="1">
        <w:r>
          <w:rPr>
            <w:color w:val="0000FF"/>
          </w:rPr>
          <w:t>приказом</w:t>
        </w:r>
      </w:hyperlink>
      <w:r>
        <w:t xml:space="preserve"> Федерального агентства по техническому регулированию и метрологии от 1 декабря 2011 г. N 680-ст;</w:t>
      </w:r>
    </w:p>
    <w:p w:rsidR="00EA226E" w:rsidRDefault="00EA226E">
      <w:pPr>
        <w:pStyle w:val="ConsPlusNormal"/>
        <w:spacing w:before="220"/>
        <w:ind w:firstLine="540"/>
        <w:jc w:val="both"/>
      </w:pPr>
      <w:r>
        <w:t xml:space="preserve">Национального стандарта Российской Федерации "Менеджмент риска. Реестр риска. Общие положения" </w:t>
      </w:r>
      <w:hyperlink r:id="rId10" w:history="1">
        <w:r>
          <w:rPr>
            <w:color w:val="0000FF"/>
          </w:rPr>
          <w:t xml:space="preserve">(ГОСТ </w:t>
        </w:r>
        <w:proofErr w:type="gramStart"/>
        <w:r>
          <w:rPr>
            <w:color w:val="0000FF"/>
          </w:rPr>
          <w:t>Р</w:t>
        </w:r>
        <w:proofErr w:type="gramEnd"/>
        <w:r>
          <w:rPr>
            <w:color w:val="0000FF"/>
          </w:rPr>
          <w:t xml:space="preserve"> 51901.21-2012)</w:t>
        </w:r>
      </w:hyperlink>
      <w:r>
        <w:t xml:space="preserve">, утвержденного </w:t>
      </w:r>
      <w:hyperlink r:id="rId11" w:history="1">
        <w:r>
          <w:rPr>
            <w:color w:val="0000FF"/>
          </w:rPr>
          <w:t>приказом</w:t>
        </w:r>
      </w:hyperlink>
      <w:r>
        <w:t xml:space="preserve"> Федерального агентства по техническому регулированию и метрологии от 29 ноября 2012 г. N 1285-ст;</w:t>
      </w:r>
    </w:p>
    <w:p w:rsidR="00EA226E" w:rsidRDefault="00EA226E">
      <w:pPr>
        <w:pStyle w:val="ConsPlusNormal"/>
        <w:spacing w:before="220"/>
        <w:ind w:firstLine="540"/>
        <w:jc w:val="both"/>
      </w:pPr>
      <w:hyperlink r:id="rId12" w:history="1">
        <w:r>
          <w:rPr>
            <w:color w:val="0000FF"/>
          </w:rPr>
          <w:t>Положения</w:t>
        </w:r>
      </w:hyperlink>
      <w:r>
        <w:t xml:space="preserve"> об управлении внутренними (операционными) казначейскими рисками, внутреннем контроле и внутреннем аудите в Федеральном казначействе, утвержденного приказом Федерального казначейства от 19 декабря 2016 г. N 478 (далее - Положение);</w:t>
      </w:r>
    </w:p>
    <w:p w:rsidR="00EA226E" w:rsidRDefault="00EA226E">
      <w:pPr>
        <w:pStyle w:val="ConsPlusNormal"/>
        <w:spacing w:before="220"/>
        <w:ind w:firstLine="540"/>
        <w:jc w:val="both"/>
      </w:pPr>
      <w:hyperlink r:id="rId13" w:history="1">
        <w:r>
          <w:rPr>
            <w:color w:val="0000FF"/>
          </w:rPr>
          <w:t>Стандарта</w:t>
        </w:r>
      </w:hyperlink>
      <w:r>
        <w:t xml:space="preserve"> осуществления последующего оперативного внутреннего автоматизированного контроля в территориальных органах Федерального казначейства, утвержденного приказом Федерального казначейства от 25 декабря 2015 г. N 368 (в редакции приказов Федерального казначейства от 11 ноября 2016 г. N 419, от 27 апреля 2017 г. N 96) (далее - Стандарт ПОВАК);</w:t>
      </w:r>
    </w:p>
    <w:p w:rsidR="00EA226E" w:rsidRDefault="00EA226E">
      <w:pPr>
        <w:pStyle w:val="ConsPlusNormal"/>
        <w:spacing w:before="220"/>
        <w:ind w:firstLine="540"/>
        <w:jc w:val="both"/>
      </w:pPr>
      <w:hyperlink r:id="rId14" w:history="1">
        <w:r>
          <w:rPr>
            <w:color w:val="0000FF"/>
          </w:rPr>
          <w:t>Стандарта</w:t>
        </w:r>
      </w:hyperlink>
      <w:r>
        <w:t xml:space="preserve"> внутреннего контроля Федерального казначейства, утвержденного приказом Федерального казначейства от 16 декабря 2016 г. N 475 (далее - Стандарт внутреннего контроля);</w:t>
      </w:r>
    </w:p>
    <w:p w:rsidR="00EA226E" w:rsidRDefault="00EA226E">
      <w:pPr>
        <w:pStyle w:val="ConsPlusNormal"/>
        <w:spacing w:before="220"/>
        <w:ind w:firstLine="540"/>
        <w:jc w:val="both"/>
      </w:pPr>
      <w:hyperlink r:id="rId15" w:history="1">
        <w:r>
          <w:rPr>
            <w:color w:val="0000FF"/>
          </w:rPr>
          <w:t>Стандартов</w:t>
        </w:r>
      </w:hyperlink>
      <w:r>
        <w:t xml:space="preserve"> внутреннего контроля и внутреннего аудита Федерального казначейства, применяемых контрольно-аудиторскими подразделениями Федерального казначейства при осуществлении ими контрольной и аудиторской деятельности, утвержденных приказом Федерального казначейства от 31 марта 2016 г. N 73 (в редакции приказа Федерального казначейства от 12 июля 2016 г. N 253) (далее - Стандарты ВК и ВА).</w:t>
      </w:r>
    </w:p>
    <w:p w:rsidR="00EA226E" w:rsidRDefault="00EA226E">
      <w:pPr>
        <w:pStyle w:val="ConsPlusNormal"/>
        <w:spacing w:before="220"/>
        <w:ind w:firstLine="540"/>
        <w:jc w:val="both"/>
      </w:pPr>
      <w:r>
        <w:t>1.2. Настоящий Стандарт разработан для использования структурными подразделениями центрального аппарата Федерального казначейства (далее - ЦАФК), территориальными органами Федерального казначейства (далее - ТОФК), федеральным казенным учреждением "Центр по обеспечению деятельности Казначейства России" (далее - ФКУ "ЦОКР", казенное учреждение):</w:t>
      </w:r>
    </w:p>
    <w:p w:rsidR="00EA226E" w:rsidRDefault="00EA226E">
      <w:pPr>
        <w:pStyle w:val="ConsPlusNormal"/>
        <w:spacing w:before="220"/>
        <w:ind w:firstLine="540"/>
        <w:jc w:val="both"/>
      </w:pPr>
      <w:r>
        <w:t>при организации и осуществлении мероприятий по идентификации, анализу и оценке внутренних (операционных) казначейских рисков;</w:t>
      </w:r>
    </w:p>
    <w:p w:rsidR="00EA226E" w:rsidRDefault="00EA226E">
      <w:pPr>
        <w:pStyle w:val="ConsPlusNormal"/>
        <w:spacing w:before="220"/>
        <w:ind w:firstLine="540"/>
        <w:jc w:val="both"/>
      </w:pPr>
      <w:r>
        <w:t>при принятии управленческих решений по минимизации либо предотвращению в дальнейшей деятельности вероятности реализации внутренних (операционных) казначейских рисков;</w:t>
      </w:r>
    </w:p>
    <w:p w:rsidR="00EA226E" w:rsidRDefault="00EA226E">
      <w:pPr>
        <w:pStyle w:val="ConsPlusNormal"/>
        <w:spacing w:before="220"/>
        <w:ind w:firstLine="540"/>
        <w:jc w:val="both"/>
      </w:pPr>
      <w:r>
        <w:t>при формировании отчетности по результатам управления внутренними (операционными) казначейскими рисками.</w:t>
      </w:r>
    </w:p>
    <w:p w:rsidR="00EA226E" w:rsidRDefault="00EA226E">
      <w:pPr>
        <w:pStyle w:val="ConsPlusNormal"/>
        <w:spacing w:before="220"/>
        <w:ind w:firstLine="540"/>
        <w:jc w:val="both"/>
      </w:pPr>
      <w:r>
        <w:t>1.3. Целью разработки Стандарта является установление общих правил, требований и процедур организации деятельности структурных подразделений ЦАФК, ТОФК, ФКУ "ЦОКР" при планировании и осуществлении управления внутренними (операционными) казначейскими рисками.</w:t>
      </w:r>
    </w:p>
    <w:p w:rsidR="00EA226E" w:rsidRDefault="00EA226E">
      <w:pPr>
        <w:pStyle w:val="ConsPlusNormal"/>
        <w:jc w:val="both"/>
      </w:pPr>
    </w:p>
    <w:p w:rsidR="00EA226E" w:rsidRDefault="00EA226E">
      <w:pPr>
        <w:pStyle w:val="ConsPlusTitle"/>
        <w:jc w:val="center"/>
        <w:outlineLvl w:val="1"/>
      </w:pPr>
      <w:r>
        <w:lastRenderedPageBreak/>
        <w:t>II. Термины и определения</w:t>
      </w:r>
    </w:p>
    <w:p w:rsidR="00EA226E" w:rsidRDefault="00EA226E">
      <w:pPr>
        <w:pStyle w:val="ConsPlusNormal"/>
        <w:jc w:val="both"/>
      </w:pPr>
    </w:p>
    <w:p w:rsidR="00EA226E" w:rsidRDefault="00EA226E">
      <w:pPr>
        <w:pStyle w:val="ConsPlusNormal"/>
        <w:ind w:firstLine="540"/>
        <w:jc w:val="both"/>
      </w:pPr>
      <w:r>
        <w:t xml:space="preserve">2.1. </w:t>
      </w:r>
      <w:proofErr w:type="gramStart"/>
      <w:r>
        <w:t>Термины и определения, установленные в настоящем разделе, применяются в Стандарте, во всех видах документации, формируемой в рамках осуществления управления внутренними (операционными) казначейскими рисками в структурных подразделениях ЦАФК, ТОФК и ФКУ "ЦОКР" в соответствии с настоящим Стандартом, а также для всех процедур управления внутренними (операционными) казначейскими рисками, организуемых и осуществляемых в соответствии с настоящим Стандартом.</w:t>
      </w:r>
      <w:proofErr w:type="gramEnd"/>
    </w:p>
    <w:p w:rsidR="00EA226E" w:rsidRDefault="00EA226E">
      <w:pPr>
        <w:pStyle w:val="ConsPlusNormal"/>
        <w:spacing w:before="220"/>
        <w:ind w:firstLine="540"/>
        <w:jc w:val="both"/>
      </w:pPr>
      <w:r>
        <w:t>2.2. В настоящем Стандарте применяются следующие термины:</w:t>
      </w:r>
    </w:p>
    <w:p w:rsidR="00EA226E" w:rsidRDefault="00EA226E">
      <w:pPr>
        <w:pStyle w:val="ConsPlusNormal"/>
        <w:spacing w:before="220"/>
        <w:ind w:firstLine="540"/>
        <w:jc w:val="both"/>
      </w:pPr>
      <w:r>
        <w:t>2.2.1. Органы Федерального казначейства - ЦАФК, ТОФК.</w:t>
      </w:r>
    </w:p>
    <w:p w:rsidR="00EA226E" w:rsidRDefault="00EA226E">
      <w:pPr>
        <w:pStyle w:val="ConsPlusNormal"/>
        <w:spacing w:before="220"/>
        <w:ind w:firstLine="540"/>
        <w:jc w:val="both"/>
      </w:pPr>
      <w:r>
        <w:t>2.2.2. ТОФК - Межрегиональное операционное управление Федерального казначейства, управления Федерального казначейства по субъектам Российской Федерации (субъектам Российской Федерации, находящимся в границах федерального округа).</w:t>
      </w:r>
    </w:p>
    <w:p w:rsidR="00EA226E" w:rsidRDefault="00EA226E">
      <w:pPr>
        <w:pStyle w:val="ConsPlusNormal"/>
        <w:spacing w:before="220"/>
        <w:ind w:firstLine="540"/>
        <w:jc w:val="both"/>
      </w:pPr>
      <w:r>
        <w:t>2.2.3. Руководство - руководитель и заместители руководителя Федерального казначейства, руководители и заместители руководителей ТОФК, директор и заместители директора ФКУ "ЦОКР".</w:t>
      </w:r>
    </w:p>
    <w:p w:rsidR="00EA226E" w:rsidRDefault="00EA226E">
      <w:pPr>
        <w:pStyle w:val="ConsPlusNormal"/>
        <w:spacing w:before="220"/>
        <w:ind w:firstLine="540"/>
        <w:jc w:val="both"/>
      </w:pPr>
      <w:r>
        <w:t>2.2.4. Казначейский риск - вероятность наступления событий, которые могут негативно отразиться на процессах и операциях, осуществляемых органами Федерального казначейства и ФКУ "ЦОКР" при выполнении функций и осуществлении полномочий в установленной сфере деятельности, а также на результатах деятельности.</w:t>
      </w:r>
    </w:p>
    <w:p w:rsidR="00EA226E" w:rsidRDefault="00EA226E">
      <w:pPr>
        <w:pStyle w:val="ConsPlusNormal"/>
        <w:spacing w:before="220"/>
        <w:ind w:firstLine="540"/>
        <w:jc w:val="both"/>
      </w:pPr>
      <w:r>
        <w:t>2.2.5. Внутренний (операционный) казначейский риск (внутренний риск) - вид казначейского риска, источник возникновения которого находится в системе Федерального казначейства.</w:t>
      </w:r>
    </w:p>
    <w:p w:rsidR="00EA226E" w:rsidRDefault="00EA226E">
      <w:pPr>
        <w:pStyle w:val="ConsPlusNormal"/>
        <w:spacing w:before="220"/>
        <w:ind w:firstLine="540"/>
        <w:jc w:val="both"/>
      </w:pPr>
      <w:r>
        <w:t>2.2.6. Группа внутренних рисков - несколько внутренних рисков, которые взаимосвязаны и (или) относятся к сфере деятельности, осуществляемой ответственными структурными подразделениями в соответствии с возложенными на них функциями.</w:t>
      </w:r>
    </w:p>
    <w:p w:rsidR="00EA226E" w:rsidRDefault="00EA226E">
      <w:pPr>
        <w:pStyle w:val="ConsPlusNormal"/>
        <w:spacing w:before="220"/>
        <w:ind w:firstLine="540"/>
        <w:jc w:val="both"/>
      </w:pPr>
      <w:r>
        <w:t>2.2.7. Управление внутренними рисками - скоординированный процесс, осуществляемый участниками системы управления внутренними рисками, направленный на идентификацию внутренних рисков, осуществление их анализа, оценки, выбора способа реагирования с учетом предотвращения распространения внутренних рисков на области, пограничные с зоной их возникновения, принятие управленческих решений в отношении внутренних рисков и их мониторинг.</w:t>
      </w:r>
    </w:p>
    <w:p w:rsidR="00EA226E" w:rsidRDefault="00EA226E">
      <w:pPr>
        <w:pStyle w:val="ConsPlusNormal"/>
        <w:spacing w:before="220"/>
        <w:ind w:firstLine="540"/>
        <w:jc w:val="both"/>
      </w:pPr>
      <w:r>
        <w:t>2.2.8. Участники управления внутренними рисками - руководство органов Федерального казначейства, ФКУ "ЦОКР", контрольно-аудиторские подразделения, иные структурные подразделения органов Федерального казначейства, ФКУ "ЦОКР" и сотрудники, принимающие участие в управлении внутренними рисками.</w:t>
      </w:r>
    </w:p>
    <w:p w:rsidR="00EA226E" w:rsidRDefault="00EA226E">
      <w:pPr>
        <w:pStyle w:val="ConsPlusNormal"/>
        <w:spacing w:before="220"/>
        <w:ind w:firstLine="540"/>
        <w:jc w:val="both"/>
      </w:pPr>
      <w:r>
        <w:t>2.2.9. Система управления внутренними рисками - совокупность элементов и связей между ними, обеспечивающая управление внутренними рисками.</w:t>
      </w:r>
    </w:p>
    <w:p w:rsidR="00EA226E" w:rsidRDefault="00EA226E">
      <w:pPr>
        <w:pStyle w:val="ConsPlusNormal"/>
        <w:spacing w:before="220"/>
        <w:ind w:firstLine="540"/>
        <w:jc w:val="both"/>
      </w:pPr>
      <w:r>
        <w:t>2.2.10. Идентификация внутренних рисков - процесс выявления, распознавания и описания (классификации) внутренних рисков.</w:t>
      </w:r>
    </w:p>
    <w:p w:rsidR="00EA226E" w:rsidRDefault="00EA226E">
      <w:pPr>
        <w:pStyle w:val="ConsPlusNormal"/>
        <w:spacing w:before="220"/>
        <w:ind w:firstLine="540"/>
        <w:jc w:val="both"/>
      </w:pPr>
      <w:r>
        <w:t>2.2.11. Анализ внутренних рисков - процесс изучения информации о внутреннем риске и его параметрах в целях определения уровня внутреннего риска.</w:t>
      </w:r>
    </w:p>
    <w:p w:rsidR="00EA226E" w:rsidRDefault="00EA226E">
      <w:pPr>
        <w:pStyle w:val="ConsPlusNormal"/>
        <w:spacing w:before="220"/>
        <w:ind w:firstLine="540"/>
        <w:jc w:val="both"/>
      </w:pPr>
      <w:r>
        <w:t>2.2.12. Оценка внутренних рисков - определение уровня внутреннего риска по результатам его анализа.</w:t>
      </w:r>
    </w:p>
    <w:p w:rsidR="00EA226E" w:rsidRDefault="00EA226E">
      <w:pPr>
        <w:pStyle w:val="ConsPlusNormal"/>
        <w:spacing w:before="220"/>
        <w:ind w:firstLine="540"/>
        <w:jc w:val="both"/>
      </w:pPr>
      <w:r>
        <w:t xml:space="preserve">2.2.13. Выбор способа реагирования на внутренние риски - выбор одного из возможных вариантов реагирования на внутренний риск, обеспечивающего достижение остаточного внутреннего риска, </w:t>
      </w:r>
      <w:r>
        <w:lastRenderedPageBreak/>
        <w:t>соответствующего допустимому уровню.</w:t>
      </w:r>
    </w:p>
    <w:p w:rsidR="00EA226E" w:rsidRDefault="00EA226E">
      <w:pPr>
        <w:pStyle w:val="ConsPlusNormal"/>
        <w:spacing w:before="220"/>
        <w:ind w:firstLine="540"/>
        <w:jc w:val="both"/>
      </w:pPr>
      <w:r>
        <w:t>2.2.14. Мониторинг внутренних рисков - непрерывный процесс наблюдения за состоянием идентифицированных внутренних рисков, осуществляемый в случае необходимости в ходе внутреннего контроля, внутреннего аудита и оценки эффективности деятельности в отношении деятельности органов Федерального казначейства, ФКУ "ЦОКР" и их структурных подразделений.</w:t>
      </w:r>
    </w:p>
    <w:p w:rsidR="00EA226E" w:rsidRDefault="00EA226E">
      <w:pPr>
        <w:pStyle w:val="ConsPlusNormal"/>
        <w:spacing w:before="220"/>
        <w:ind w:firstLine="540"/>
        <w:jc w:val="both"/>
      </w:pPr>
      <w:r>
        <w:t>2.2.15. Уровень внутреннего риска - количественный показатель, значение которого определяется исходя из показателей вероятности реализации внутреннего риска и его значимости.</w:t>
      </w:r>
    </w:p>
    <w:p w:rsidR="00EA226E" w:rsidRDefault="00EA226E">
      <w:pPr>
        <w:pStyle w:val="ConsPlusNormal"/>
        <w:spacing w:before="220"/>
        <w:ind w:firstLine="540"/>
        <w:jc w:val="both"/>
      </w:pPr>
      <w:r>
        <w:t>2.2.16. Значимость внутреннего риска - количественный показатель, определяющий степень негативного влияния возможных последствий реализации внутреннего риска на деятельности органов Федерального казначейства, ФКУ "ЦОКР".</w:t>
      </w:r>
    </w:p>
    <w:p w:rsidR="00EA226E" w:rsidRDefault="00EA226E">
      <w:pPr>
        <w:pStyle w:val="ConsPlusNormal"/>
        <w:spacing w:before="220"/>
        <w:ind w:firstLine="540"/>
        <w:jc w:val="both"/>
      </w:pPr>
      <w:r>
        <w:t>2.2.17. Вероятность реализации внутреннего риска - показатель, определяющий количественную оценку возможности наступления конкретного внутреннего риска в органе Федерального казначейства, ФКУ "ЦОКР".</w:t>
      </w:r>
    </w:p>
    <w:p w:rsidR="00EA226E" w:rsidRDefault="00EA226E">
      <w:pPr>
        <w:pStyle w:val="ConsPlusNormal"/>
        <w:spacing w:before="220"/>
        <w:ind w:firstLine="540"/>
        <w:jc w:val="both"/>
      </w:pPr>
      <w:r>
        <w:t>2.2.18. Ответственное структурное подразделение - структурное подразделение органа Федерального казначейства, ФКУ "ЦОКР", которое управляет отдельным внутренним риском (группой внутренних рисков) самостоятельно или совместно с другим структурным подразделением.</w:t>
      </w:r>
    </w:p>
    <w:p w:rsidR="00EA226E" w:rsidRDefault="00EA226E">
      <w:pPr>
        <w:pStyle w:val="ConsPlusNormal"/>
        <w:spacing w:before="220"/>
        <w:ind w:firstLine="540"/>
        <w:jc w:val="both"/>
      </w:pPr>
      <w:r>
        <w:t xml:space="preserve">2.2.19. </w:t>
      </w:r>
      <w:proofErr w:type="gramStart"/>
      <w:r>
        <w:t>Внутренний контроль - процесс, осуществляемый в рамках управления казначейскими рисками руководителями (заместителями руководителей), иными должностными лицами органов Федерального казначейства, ФКУ "ЦОКР", контрольно-аудиторскими подразделениями, направленный на соблюдение законодательных и иных нормативных правовых актов Российской Федерации, нормативных правовых и правовых актов Министерства финансов Российской Федерации и Федерального казначейства, а также иных документов, регламентирующих деятельность органов Федерального казначейства, ФКУ "ЦОКР", повышение эффективности (экономности и</w:t>
      </w:r>
      <w:proofErr w:type="gramEnd"/>
      <w:r>
        <w:t xml:space="preserve"> результативности) деятельности органов Федерального казначейства, ФКУ "ЦОКР", в разрезе финансового, административного и технологического направлений деятельности.</w:t>
      </w:r>
    </w:p>
    <w:p w:rsidR="00EA226E" w:rsidRDefault="00EA226E">
      <w:pPr>
        <w:pStyle w:val="ConsPlusNormal"/>
        <w:spacing w:before="220"/>
        <w:ind w:firstLine="540"/>
        <w:jc w:val="both"/>
      </w:pPr>
      <w:r>
        <w:t>2.2.20. Внутренний аудит - деятельность контрольно-аудиторских подразделений по представлению руководству органов Федерального казначейства, ФКУ "ЦОКР" независимой и объективной информации о состоянии деятельности органов Федерального казначейства, ФКУ "ЦОКР" по осуществлению возложенных на них функций и полномочий, в том числе о надежности функционирования системы внутреннего контроля.</w:t>
      </w:r>
    </w:p>
    <w:p w:rsidR="00EA226E" w:rsidRDefault="00EA226E">
      <w:pPr>
        <w:pStyle w:val="ConsPlusNormal"/>
        <w:spacing w:before="220"/>
        <w:ind w:firstLine="540"/>
        <w:jc w:val="both"/>
      </w:pPr>
      <w:r>
        <w:t>2.2.21. Внутренние бюджетные процедуры - внутренние процедуры составления и исполнения федерального бюджета, ведения бюджетного учета и составления бюджетной отчетности, включая порядок ведения бюджетной политики.</w:t>
      </w:r>
    </w:p>
    <w:p w:rsidR="00EA226E" w:rsidRDefault="00EA226E">
      <w:pPr>
        <w:pStyle w:val="ConsPlusNormal"/>
        <w:spacing w:before="220"/>
        <w:ind w:firstLine="540"/>
        <w:jc w:val="both"/>
      </w:pPr>
      <w:r>
        <w:t>2.2.22. Контрольная деятельность - деятельность контрольно-аудиторского подразделения Федерального казначейства по осуществлению внутреннего контроля в отношении деятельности ТОФК, ФКУ "ЦОКР", их структурных подразделений и сотрудников с применением метода "контроль по уровню подведомственности", а также по осуществлению последующего внутреннего контроля в отношении деятельности структурных подразделений ЦАФК.</w:t>
      </w:r>
    </w:p>
    <w:p w:rsidR="00EA226E" w:rsidRDefault="00EA226E">
      <w:pPr>
        <w:pStyle w:val="ConsPlusNormal"/>
        <w:spacing w:before="220"/>
        <w:ind w:firstLine="540"/>
        <w:jc w:val="both"/>
      </w:pPr>
      <w:r>
        <w:t>2.2.23. Аудиторская деятельность - деятельность контрольно-аудиторского подразделения Федерального казначейства, контрольно-аудиторских подразделений ТОФК, ФКУ "ЦОКР", а также ответственных работников по осуществлению внутреннего аудита в отношении деятельности структурных подразделений ЦАФК, а также ТОФК, ФКУ "ЦОКР" и их структурных подразделений и сотрудников.</w:t>
      </w:r>
    </w:p>
    <w:p w:rsidR="00EA226E" w:rsidRDefault="00EA226E">
      <w:pPr>
        <w:pStyle w:val="ConsPlusNormal"/>
        <w:spacing w:before="220"/>
        <w:ind w:firstLine="540"/>
        <w:jc w:val="both"/>
      </w:pPr>
      <w:r>
        <w:t>2.2.24. Контрольные мероприятия - организационная форма осуществления контрольной деятельности, посредством которой обеспечивается внутренний контроль деятельности структурных подразделений ЦАФК и ТОФК, ФКУ "ЦОКР", а также их структурных подразделений и сотрудников.</w:t>
      </w:r>
    </w:p>
    <w:p w:rsidR="00EA226E" w:rsidRDefault="00EA226E">
      <w:pPr>
        <w:pStyle w:val="ConsPlusNormal"/>
        <w:spacing w:before="220"/>
        <w:ind w:firstLine="540"/>
        <w:jc w:val="both"/>
      </w:pPr>
      <w:r>
        <w:lastRenderedPageBreak/>
        <w:t>2.2.25. Аудиторские мероприятия - организационная форма осуществления аудиторской деятельности, посредством которой обеспечивается внутренний аудит деятельности структурных подразделений ЦАФК и ТОФК, ФКУ "ЦОКР", а также их структурных подразделений и сотрудников.</w:t>
      </w:r>
    </w:p>
    <w:p w:rsidR="00EA226E" w:rsidRDefault="00EA226E">
      <w:pPr>
        <w:pStyle w:val="ConsPlusNormal"/>
        <w:spacing w:before="220"/>
        <w:ind w:firstLine="540"/>
        <w:jc w:val="both"/>
      </w:pPr>
      <w:r>
        <w:t>2.2.26. Контрольно-аудиторское подразделение Федерального казначейства - Управление совершенствования внутреннего государственного финансового контроля Федерального казначейства.</w:t>
      </w:r>
    </w:p>
    <w:p w:rsidR="00EA226E" w:rsidRDefault="00EA226E">
      <w:pPr>
        <w:pStyle w:val="ConsPlusNormal"/>
        <w:spacing w:before="220"/>
        <w:ind w:firstLine="540"/>
        <w:jc w:val="both"/>
      </w:pPr>
      <w:r>
        <w:t>2.2.27. Контрольно-аудиторские подразделения ТОФК, ФКУ "ЦОКР" - отделы внутреннего контроля и аудита ТОФК, отдел внутреннего контроля и аудита ФКУ "ЦОКР".</w:t>
      </w:r>
    </w:p>
    <w:p w:rsidR="00EA226E" w:rsidRDefault="00EA226E">
      <w:pPr>
        <w:pStyle w:val="ConsPlusNormal"/>
        <w:spacing w:before="220"/>
        <w:ind w:firstLine="540"/>
        <w:jc w:val="both"/>
      </w:pPr>
      <w:r>
        <w:t>2.2.28. Объекты внутреннего контроля - органы Федерального казначейства, ФКУ "ЦОКР", их структурные подразделения и сотрудники.</w:t>
      </w:r>
    </w:p>
    <w:p w:rsidR="00EA226E" w:rsidRDefault="00EA226E">
      <w:pPr>
        <w:pStyle w:val="ConsPlusNormal"/>
        <w:spacing w:before="220"/>
        <w:ind w:firstLine="540"/>
        <w:jc w:val="both"/>
      </w:pPr>
      <w:r>
        <w:t>2.2.29. Объекты внутреннего аудита - органы Федерального казначейства, ФКУ "ЦОКР" и их структурные подразделения.</w:t>
      </w:r>
    </w:p>
    <w:p w:rsidR="00EA226E" w:rsidRDefault="00EA226E">
      <w:pPr>
        <w:pStyle w:val="ConsPlusNormal"/>
        <w:spacing w:before="220"/>
        <w:ind w:firstLine="540"/>
        <w:jc w:val="both"/>
      </w:pPr>
      <w:r>
        <w:t>2.2.30. Предмет внутреннего контроля - операции и действия (в том числе по формированию документов), необходимые для выполнения функций и осуществления полномочий органов Федерального казначейства, ФКУ "ЦОКР".</w:t>
      </w:r>
    </w:p>
    <w:p w:rsidR="00EA226E" w:rsidRDefault="00EA226E">
      <w:pPr>
        <w:pStyle w:val="ConsPlusNormal"/>
        <w:spacing w:before="220"/>
        <w:ind w:firstLine="540"/>
        <w:jc w:val="both"/>
      </w:pPr>
      <w:r>
        <w:t>2.2.31. Предмет внутреннего аудита - совокупность операций, совершаемых органами Федерального казначейства, ФКУ "ЦОКР", их структурными подразделениями и сотрудниками, а также организация и осуществление внутреннего контроля.</w:t>
      </w:r>
    </w:p>
    <w:p w:rsidR="00EA226E" w:rsidRDefault="00EA226E">
      <w:pPr>
        <w:pStyle w:val="ConsPlusNormal"/>
        <w:spacing w:before="220"/>
        <w:ind w:firstLine="540"/>
        <w:jc w:val="both"/>
      </w:pPr>
      <w:r>
        <w:t>2.2.32. Ответственный работник - сотрудник контрольно-аудиторского подразделения ТОФК, ФКУ "ЦОКР", на которого приказом соответствующего ТОФК, ФКУ "ЦОКР" возложены полномочия по проведению проверки, а также ответственность за проведение проверки и подготовку акта проверки в случае, если проверка проводится единственным сотрудником.</w:t>
      </w:r>
    </w:p>
    <w:p w:rsidR="00EA226E" w:rsidRDefault="00EA226E">
      <w:pPr>
        <w:pStyle w:val="ConsPlusNormal"/>
        <w:spacing w:before="220"/>
        <w:ind w:firstLine="540"/>
        <w:jc w:val="both"/>
      </w:pPr>
      <w:r>
        <w:t>2.2.33. Проверка - единичное контрольное и (или) аудиторское действие, проводимое в одной или нескольких из нижеперечисленных целей:</w:t>
      </w:r>
    </w:p>
    <w:p w:rsidR="00EA226E" w:rsidRDefault="00EA226E">
      <w:pPr>
        <w:pStyle w:val="ConsPlusNormal"/>
        <w:spacing w:before="220"/>
        <w:ind w:firstLine="540"/>
        <w:jc w:val="both"/>
      </w:pPr>
      <w:r>
        <w:t>установление соответствия деятельности объектов внутреннего контроля требованиям нормативных правовых актов Российской Федерации, нормативных правовых и правовых актов Министерства финансов Российской Федерации и Федерального казначейства и иных документов, регламентирующих их деятельность;</w:t>
      </w:r>
    </w:p>
    <w:p w:rsidR="00EA226E" w:rsidRDefault="00EA226E">
      <w:pPr>
        <w:pStyle w:val="ConsPlusNormal"/>
        <w:spacing w:before="220"/>
        <w:ind w:firstLine="540"/>
        <w:jc w:val="both"/>
      </w:pPr>
      <w:r>
        <w:t>оценка надежности внутреннего контроля объекта внутреннего аудита и подготовка рекомендаций по повышению его эффективности;</w:t>
      </w:r>
    </w:p>
    <w:p w:rsidR="00EA226E" w:rsidRDefault="00EA226E">
      <w:pPr>
        <w:pStyle w:val="ConsPlusNormal"/>
        <w:spacing w:before="220"/>
        <w:ind w:firstLine="540"/>
        <w:jc w:val="both"/>
      </w:pPr>
      <w:r>
        <w:t xml:space="preserve">подтверждение достоверности документов, в том числе бюджетной отчетности, и соответствия порядка их формирования требованиям нормативных правовых актов Российской Федерации, в том числе </w:t>
      </w:r>
      <w:proofErr w:type="gramStart"/>
      <w:r>
        <w:t>соответствия порядка ведения бюджетного учета методологии</w:t>
      </w:r>
      <w:proofErr w:type="gramEnd"/>
      <w:r>
        <w:t xml:space="preserve"> и стандартам бюджетного учета, установленным Министерством финансов Российской Федерации;</w:t>
      </w:r>
    </w:p>
    <w:p w:rsidR="00EA226E" w:rsidRDefault="00EA226E">
      <w:pPr>
        <w:pStyle w:val="ConsPlusNormal"/>
        <w:spacing w:before="220"/>
        <w:ind w:firstLine="540"/>
        <w:jc w:val="both"/>
      </w:pPr>
      <w:r>
        <w:t>подготовка предложений по повышению эффективности (экономности и результативности) использования средств федерального бюджета.</w:t>
      </w:r>
    </w:p>
    <w:p w:rsidR="00EA226E" w:rsidRDefault="00EA226E">
      <w:pPr>
        <w:pStyle w:val="ConsPlusNormal"/>
        <w:spacing w:before="220"/>
        <w:ind w:firstLine="540"/>
        <w:jc w:val="both"/>
      </w:pPr>
      <w:r>
        <w:t>2.2.34. Объект проверки - структурные подразделения ЦАФК, а также ТОФК, ФКУ "ЦОКР" и их структурные подразделения и сотрудники.</w:t>
      </w:r>
    </w:p>
    <w:p w:rsidR="00EA226E" w:rsidRDefault="00EA226E">
      <w:pPr>
        <w:pStyle w:val="ConsPlusNormal"/>
        <w:spacing w:before="220"/>
        <w:ind w:firstLine="540"/>
        <w:jc w:val="both"/>
      </w:pPr>
      <w:r>
        <w:t xml:space="preserve">2.2.35. Последующий оперативный внутренний автоматизированный контроль - внутренний контроль, осуществляемый сотрудниками контрольно-аудиторских подразделений ТОФК в рамках управления казначейскими рисками после совершения операций и действий (в том числе по формированию документов), осуществляемых в структурных подразделениях ТОФК, реализуемый путем выполнения процессов и операций последующего оперативного внутреннего автоматизированного </w:t>
      </w:r>
      <w:r>
        <w:lastRenderedPageBreak/>
        <w:t>контроля и направленный:</w:t>
      </w:r>
    </w:p>
    <w:p w:rsidR="00EA226E" w:rsidRDefault="00EA226E">
      <w:pPr>
        <w:pStyle w:val="ConsPlusNormal"/>
        <w:spacing w:before="220"/>
        <w:ind w:firstLine="540"/>
        <w:jc w:val="both"/>
      </w:pPr>
      <w:proofErr w:type="gramStart"/>
      <w:r>
        <w:t>на обеспечение оперативного информирования руководства ТОФК о соблюдении (нарушении) требований законодательных и иных нормативных правовых актов Российской Федерации, нормативных правовых и правовых актов Министерства финансов Российской Федерации и Федерального казначейства, иных документов, регламентирующих деятельность ТОФК по обеспечению исполнения федерального бюджета, кассовому обслуживанию исполнения бюджетов бюджетной системы Российской Федерации, предварительному и текущему контролю за ведением операций со средствами федерального бюджета главными</w:t>
      </w:r>
      <w:proofErr w:type="gramEnd"/>
      <w:r>
        <w:t xml:space="preserve"> распорядителями, распорядителями и получателями средств федерального бюджета;</w:t>
      </w:r>
    </w:p>
    <w:p w:rsidR="00EA226E" w:rsidRDefault="00EA226E">
      <w:pPr>
        <w:pStyle w:val="ConsPlusNormal"/>
        <w:spacing w:before="220"/>
        <w:ind w:firstLine="540"/>
        <w:jc w:val="both"/>
      </w:pPr>
      <w:r>
        <w:t>на обеспечение своевременного принятия управленческих решений и реализацию мероприятий по минимизации или устранению в дальнейшей деятельности последствий нарушений (недостатков), выявленных в деятельности ТОФК.</w:t>
      </w:r>
    </w:p>
    <w:p w:rsidR="00EA226E" w:rsidRDefault="00EA226E">
      <w:pPr>
        <w:pStyle w:val="ConsPlusNormal"/>
        <w:jc w:val="both"/>
      </w:pPr>
    </w:p>
    <w:p w:rsidR="00EA226E" w:rsidRDefault="00EA226E">
      <w:pPr>
        <w:pStyle w:val="ConsPlusTitle"/>
        <w:jc w:val="center"/>
        <w:outlineLvl w:val="1"/>
      </w:pPr>
      <w:r>
        <w:t>III. Осуществление управления внутренними рисками в органах</w:t>
      </w:r>
    </w:p>
    <w:p w:rsidR="00EA226E" w:rsidRDefault="00EA226E">
      <w:pPr>
        <w:pStyle w:val="ConsPlusTitle"/>
        <w:jc w:val="center"/>
      </w:pPr>
      <w:r>
        <w:t>Федерального казначейства, ФКУ "ЦОКР"</w:t>
      </w:r>
    </w:p>
    <w:p w:rsidR="00EA226E" w:rsidRDefault="00EA226E">
      <w:pPr>
        <w:pStyle w:val="ConsPlusNormal"/>
        <w:jc w:val="both"/>
      </w:pPr>
    </w:p>
    <w:p w:rsidR="00EA226E" w:rsidRDefault="00EA226E">
      <w:pPr>
        <w:pStyle w:val="ConsPlusNormal"/>
        <w:ind w:firstLine="540"/>
        <w:jc w:val="both"/>
      </w:pPr>
      <w:r>
        <w:t xml:space="preserve">3.1. Управление внутренними рисками осуществляется участниками управления внутренними рисками в установленной сфере деятельности в соответствии с настоящим Стандартом и распределением основных функций, предусмотренным </w:t>
      </w:r>
      <w:hyperlink r:id="rId16" w:history="1">
        <w:r>
          <w:rPr>
            <w:color w:val="0000FF"/>
          </w:rPr>
          <w:t>Положением</w:t>
        </w:r>
      </w:hyperlink>
      <w:r>
        <w:t>.</w:t>
      </w:r>
    </w:p>
    <w:p w:rsidR="00EA226E" w:rsidRDefault="00EA226E">
      <w:pPr>
        <w:pStyle w:val="ConsPlusNormal"/>
        <w:spacing w:before="220"/>
        <w:ind w:firstLine="540"/>
        <w:jc w:val="both"/>
      </w:pPr>
      <w:r>
        <w:t>3.2. Координацию деятельности органов Федерального казначейства, ФКУ "ЦОКР" по организации и осуществлению управления внутренними рисками осуществляет контрольно-аудиторское подразделение Федерального казначейства.</w:t>
      </w:r>
    </w:p>
    <w:p w:rsidR="00EA226E" w:rsidRDefault="00EA226E">
      <w:pPr>
        <w:pStyle w:val="ConsPlusNormal"/>
        <w:spacing w:before="220"/>
        <w:ind w:firstLine="540"/>
        <w:jc w:val="both"/>
      </w:pPr>
      <w:r>
        <w:t>3.3. Организацию деятельности структурных подразделений ТОФК, ФКУ "ЦОКР" по осуществлению управления внутренними рисками обеспечивает контрольно-аудиторское подразделение ТОФК, ФКУ "ЦОКР" соответственно.</w:t>
      </w:r>
    </w:p>
    <w:p w:rsidR="00EA226E" w:rsidRDefault="00EA226E">
      <w:pPr>
        <w:pStyle w:val="ConsPlusNormal"/>
        <w:spacing w:before="220"/>
        <w:ind w:firstLine="540"/>
        <w:jc w:val="both"/>
      </w:pPr>
      <w:r>
        <w:t>3.4. Управление внутренними рисками в органах Федерального казначейства, ФКУ "ЦОКР" включает выполнение следующих мероприятий последовательно:</w:t>
      </w:r>
    </w:p>
    <w:p w:rsidR="00EA226E" w:rsidRDefault="00EA226E">
      <w:pPr>
        <w:pStyle w:val="ConsPlusNormal"/>
        <w:spacing w:before="220"/>
        <w:ind w:firstLine="540"/>
        <w:jc w:val="both"/>
      </w:pPr>
      <w:r>
        <w:t>идентификацию, анализ и оценку внутренних рисков;</w:t>
      </w:r>
    </w:p>
    <w:p w:rsidR="00EA226E" w:rsidRDefault="00EA226E">
      <w:pPr>
        <w:pStyle w:val="ConsPlusNormal"/>
        <w:spacing w:before="220"/>
        <w:ind w:firstLine="540"/>
        <w:jc w:val="both"/>
      </w:pPr>
      <w:r>
        <w:t>выбор способов реагирования на внутренние риски;</w:t>
      </w:r>
    </w:p>
    <w:p w:rsidR="00EA226E" w:rsidRDefault="00EA226E">
      <w:pPr>
        <w:pStyle w:val="ConsPlusNormal"/>
        <w:spacing w:before="220"/>
        <w:ind w:firstLine="540"/>
        <w:jc w:val="both"/>
      </w:pPr>
      <w:r>
        <w:t>мониторинг внутренних рисков;</w:t>
      </w:r>
    </w:p>
    <w:p w:rsidR="00EA226E" w:rsidRDefault="00EA226E">
      <w:pPr>
        <w:pStyle w:val="ConsPlusNormal"/>
        <w:spacing w:before="220"/>
        <w:ind w:firstLine="540"/>
        <w:jc w:val="both"/>
      </w:pPr>
      <w:r>
        <w:t>оценку эффективности функционирования системы управления внутренними рисками;</w:t>
      </w:r>
    </w:p>
    <w:p w:rsidR="00EA226E" w:rsidRDefault="00EA226E">
      <w:pPr>
        <w:pStyle w:val="ConsPlusNormal"/>
        <w:spacing w:before="220"/>
        <w:ind w:firstLine="540"/>
        <w:jc w:val="both"/>
      </w:pPr>
      <w:r>
        <w:t>контроль эффективности функционирования системы управления внутренними рисками;</w:t>
      </w:r>
    </w:p>
    <w:p w:rsidR="00EA226E" w:rsidRDefault="00EA226E">
      <w:pPr>
        <w:pStyle w:val="ConsPlusNormal"/>
        <w:spacing w:before="220"/>
        <w:ind w:firstLine="540"/>
        <w:jc w:val="both"/>
      </w:pPr>
      <w:r>
        <w:t>формирование отчетности в рамках управления внутренними рисками.</w:t>
      </w:r>
    </w:p>
    <w:p w:rsidR="00EA226E" w:rsidRDefault="00EA226E">
      <w:pPr>
        <w:pStyle w:val="ConsPlusNormal"/>
        <w:jc w:val="both"/>
      </w:pPr>
    </w:p>
    <w:p w:rsidR="00EA226E" w:rsidRDefault="00EA226E">
      <w:pPr>
        <w:pStyle w:val="ConsPlusTitle"/>
        <w:jc w:val="center"/>
        <w:outlineLvl w:val="1"/>
      </w:pPr>
      <w:r>
        <w:t>IV. Организация и осуществление идентификации,</w:t>
      </w:r>
    </w:p>
    <w:p w:rsidR="00EA226E" w:rsidRDefault="00EA226E">
      <w:pPr>
        <w:pStyle w:val="ConsPlusTitle"/>
        <w:jc w:val="center"/>
      </w:pPr>
      <w:r>
        <w:t>анализа и оценки внутренних рисков в органах Федерального</w:t>
      </w:r>
    </w:p>
    <w:p w:rsidR="00EA226E" w:rsidRDefault="00EA226E">
      <w:pPr>
        <w:pStyle w:val="ConsPlusTitle"/>
        <w:jc w:val="center"/>
      </w:pPr>
      <w:r>
        <w:t>казначейства, ФКУ "ЦОКР"</w:t>
      </w:r>
    </w:p>
    <w:p w:rsidR="00EA226E" w:rsidRDefault="00EA226E">
      <w:pPr>
        <w:pStyle w:val="ConsPlusNormal"/>
        <w:jc w:val="both"/>
      </w:pPr>
    </w:p>
    <w:p w:rsidR="00EA226E" w:rsidRDefault="00EA226E">
      <w:pPr>
        <w:pStyle w:val="ConsPlusNormal"/>
        <w:ind w:firstLine="540"/>
        <w:jc w:val="both"/>
      </w:pPr>
      <w:r>
        <w:t>4.1. Идентификация, анализ и оценка внутренних рисков осуществляются структурными подразделениями ЦАФК, ТОФК и ФКУ "ЦОКР".</w:t>
      </w:r>
    </w:p>
    <w:p w:rsidR="00EA226E" w:rsidRDefault="00EA226E">
      <w:pPr>
        <w:pStyle w:val="ConsPlusNormal"/>
        <w:spacing w:before="220"/>
        <w:ind w:firstLine="540"/>
        <w:jc w:val="both"/>
      </w:pPr>
      <w:r>
        <w:t>4.2. Идентификация, анализ и оценка внутренних рисков осуществляются структурными подразделениями ЦАФК:</w:t>
      </w:r>
    </w:p>
    <w:p w:rsidR="00EA226E" w:rsidRDefault="00EA226E">
      <w:pPr>
        <w:pStyle w:val="ConsPlusNormal"/>
        <w:spacing w:before="220"/>
        <w:ind w:firstLine="540"/>
        <w:jc w:val="both"/>
      </w:pPr>
      <w:r>
        <w:t xml:space="preserve">при формировании (актуализации) классификаторов внутренних (операционных) казначейских рисков по направлениям деятельности ТОФК, утверждаемых приказами Федерального казначейства </w:t>
      </w:r>
      <w:r>
        <w:lastRenderedPageBreak/>
        <w:t>(далее - классификаторы внутренних рисков ТОФК);</w:t>
      </w:r>
    </w:p>
    <w:p w:rsidR="00EA226E" w:rsidRDefault="00EA226E">
      <w:pPr>
        <w:pStyle w:val="ConsPlusNormal"/>
        <w:spacing w:before="220"/>
        <w:ind w:firstLine="540"/>
        <w:jc w:val="both"/>
      </w:pPr>
      <w:r>
        <w:t>при осуществлении внутреннего контроля методами "самоконтроль", "контроль по уровню подчиненности", "смежный контроль" в соответствии со Стандартом внутреннего контроля.</w:t>
      </w:r>
    </w:p>
    <w:p w:rsidR="00EA226E" w:rsidRDefault="00EA226E">
      <w:pPr>
        <w:pStyle w:val="ConsPlusNormal"/>
        <w:spacing w:before="220"/>
        <w:ind w:firstLine="540"/>
        <w:jc w:val="both"/>
      </w:pPr>
      <w:r>
        <w:t>4.3. Идентификация, анализ и оценка внутренних рисков осуществляются структурными подразделениями ТОФК, ФКУ "ЦОКР":</w:t>
      </w:r>
    </w:p>
    <w:p w:rsidR="00EA226E" w:rsidRDefault="00EA226E">
      <w:pPr>
        <w:pStyle w:val="ConsPlusNormal"/>
        <w:spacing w:before="220"/>
        <w:ind w:firstLine="540"/>
        <w:jc w:val="both"/>
      </w:pPr>
      <w:r>
        <w:t>при подготовке предложений по актуализации классификаторов внутренних рисков ТОФК;</w:t>
      </w:r>
    </w:p>
    <w:p w:rsidR="00EA226E" w:rsidRDefault="00EA226E">
      <w:pPr>
        <w:pStyle w:val="ConsPlusNormal"/>
        <w:spacing w:before="220"/>
        <w:ind w:firstLine="540"/>
        <w:jc w:val="both"/>
      </w:pPr>
      <w:r>
        <w:t xml:space="preserve">при осуществлении внутреннего контроля методами "самоконтроль", "контроль по уровню подчиненности", "смежный контроль" в соответствии со </w:t>
      </w:r>
      <w:hyperlink r:id="rId17" w:history="1">
        <w:r>
          <w:rPr>
            <w:color w:val="0000FF"/>
          </w:rPr>
          <w:t>Стандартом</w:t>
        </w:r>
      </w:hyperlink>
      <w:r>
        <w:t xml:space="preserve"> внутреннего контроля.</w:t>
      </w:r>
    </w:p>
    <w:p w:rsidR="00EA226E" w:rsidRDefault="00EA226E">
      <w:pPr>
        <w:pStyle w:val="ConsPlusNormal"/>
        <w:spacing w:before="220"/>
        <w:ind w:firstLine="540"/>
        <w:jc w:val="both"/>
      </w:pPr>
      <w:bookmarkStart w:id="1" w:name="P120"/>
      <w:bookmarkEnd w:id="1"/>
      <w:r>
        <w:t>4.4. Источниками информации для идентификации внутренних рисков являются:</w:t>
      </w:r>
    </w:p>
    <w:p w:rsidR="00EA226E" w:rsidRDefault="00EA226E">
      <w:pPr>
        <w:pStyle w:val="ConsPlusNormal"/>
        <w:spacing w:before="220"/>
        <w:ind w:firstLine="540"/>
        <w:jc w:val="both"/>
      </w:pPr>
      <w:r>
        <w:t>законодательные и иные нормативные правовые акты Российской Федерации, нормативные правовые и правовые акты Министерства финансов Российской Федерации и Федерального казначейства, технологические регламенты, иные документы, регламентирующие деятельность органов Федерального казначейства, ФКУ "ЦОКР";</w:t>
      </w:r>
    </w:p>
    <w:p w:rsidR="00EA226E" w:rsidRDefault="00EA226E">
      <w:pPr>
        <w:pStyle w:val="ConsPlusNormal"/>
        <w:spacing w:before="220"/>
        <w:ind w:firstLine="540"/>
        <w:jc w:val="both"/>
      </w:pPr>
      <w:r>
        <w:t>классификаторы внутренних рисков ТОФК;</w:t>
      </w:r>
    </w:p>
    <w:p w:rsidR="00EA226E" w:rsidRDefault="00EA226E">
      <w:pPr>
        <w:pStyle w:val="ConsPlusNormal"/>
        <w:spacing w:before="220"/>
        <w:ind w:firstLine="540"/>
        <w:jc w:val="both"/>
      </w:pPr>
      <w:r>
        <w:t>результаты анализа итогов контрольных и аудиторских мероприятий, мероприятий контрольно-надзорных органов в отношении ЦАФК, ТОФК, ФКУ "ЦОКР" и их структурных подразделений;</w:t>
      </w:r>
    </w:p>
    <w:p w:rsidR="00EA226E" w:rsidRDefault="00EA226E">
      <w:pPr>
        <w:pStyle w:val="ConsPlusNormal"/>
        <w:spacing w:before="220"/>
        <w:ind w:firstLine="540"/>
        <w:jc w:val="both"/>
      </w:pPr>
      <w:r>
        <w:t>отчетность о результатах осуществления внутреннего контроля и внутреннего аудита в органах Федерального казначейства, ФКУ "ЦОКР";</w:t>
      </w:r>
    </w:p>
    <w:p w:rsidR="00EA226E" w:rsidRDefault="00EA226E">
      <w:pPr>
        <w:pStyle w:val="ConsPlusNormal"/>
        <w:spacing w:before="220"/>
        <w:ind w:firstLine="540"/>
        <w:jc w:val="both"/>
      </w:pPr>
      <w:r>
        <w:t xml:space="preserve">результаты последующего оперативного внутреннего автоматизированного контроля, осуществляемого в ТОФК в соответствии со </w:t>
      </w:r>
      <w:hyperlink r:id="rId18" w:history="1">
        <w:r>
          <w:rPr>
            <w:color w:val="0000FF"/>
          </w:rPr>
          <w:t>Стандартом</w:t>
        </w:r>
      </w:hyperlink>
      <w:r>
        <w:t xml:space="preserve"> ПОВАК;</w:t>
      </w:r>
    </w:p>
    <w:p w:rsidR="00EA226E" w:rsidRDefault="00EA226E">
      <w:pPr>
        <w:pStyle w:val="ConsPlusNormal"/>
        <w:spacing w:before="220"/>
        <w:ind w:firstLine="540"/>
        <w:jc w:val="both"/>
      </w:pPr>
      <w:r>
        <w:t>результаты интегральной оценки деятельности ТОФК, а также структурных подразделений ТОФК (если применимо), осуществленной в порядке, установленном в Федеральном казначействе, ТОФК;</w:t>
      </w:r>
    </w:p>
    <w:p w:rsidR="00EA226E" w:rsidRDefault="00EA226E">
      <w:pPr>
        <w:pStyle w:val="ConsPlusNormal"/>
        <w:spacing w:before="220"/>
        <w:ind w:firstLine="540"/>
        <w:jc w:val="both"/>
      </w:pPr>
      <w:r>
        <w:t>результаты рассмотрения жалоб и обращений граждан и организаций;</w:t>
      </w:r>
    </w:p>
    <w:p w:rsidR="00EA226E" w:rsidRDefault="00EA226E">
      <w:pPr>
        <w:pStyle w:val="ConsPlusNormal"/>
        <w:spacing w:before="220"/>
        <w:ind w:firstLine="540"/>
        <w:jc w:val="both"/>
      </w:pPr>
      <w:r>
        <w:t>иная информация и материалы о деятельности органов Федерального казначейства, ФКУ "ЦОКР", их структурных подразделений и сотрудников.</w:t>
      </w:r>
    </w:p>
    <w:p w:rsidR="00EA226E" w:rsidRDefault="00EA226E">
      <w:pPr>
        <w:pStyle w:val="ConsPlusNormal"/>
        <w:spacing w:before="220"/>
        <w:ind w:firstLine="540"/>
        <w:jc w:val="both"/>
      </w:pPr>
      <w:r>
        <w:t>4.5. Идентификация внутренних рисков осуществляется путем реализации следующих мероприятий:</w:t>
      </w:r>
    </w:p>
    <w:p w:rsidR="00EA226E" w:rsidRDefault="00EA226E">
      <w:pPr>
        <w:pStyle w:val="ConsPlusNormal"/>
        <w:spacing w:before="220"/>
        <w:ind w:firstLine="540"/>
        <w:jc w:val="both"/>
      </w:pPr>
      <w:r>
        <w:t>выявление внутренних рисков;</w:t>
      </w:r>
    </w:p>
    <w:p w:rsidR="00EA226E" w:rsidRDefault="00EA226E">
      <w:pPr>
        <w:pStyle w:val="ConsPlusNormal"/>
        <w:spacing w:before="220"/>
        <w:ind w:firstLine="540"/>
        <w:jc w:val="both"/>
      </w:pPr>
      <w:r>
        <w:t>определение объектов воздействия внутренних рисков.</w:t>
      </w:r>
    </w:p>
    <w:p w:rsidR="00EA226E" w:rsidRDefault="00EA226E">
      <w:pPr>
        <w:pStyle w:val="ConsPlusNormal"/>
        <w:spacing w:before="220"/>
        <w:ind w:firstLine="540"/>
        <w:jc w:val="both"/>
      </w:pPr>
      <w:r>
        <w:t>4.6. Идентификация внутренних рисков осуществляется не реже одного раза в год.</w:t>
      </w:r>
    </w:p>
    <w:p w:rsidR="00EA226E" w:rsidRDefault="00EA226E">
      <w:pPr>
        <w:pStyle w:val="ConsPlusNormal"/>
        <w:spacing w:before="220"/>
        <w:ind w:firstLine="540"/>
        <w:jc w:val="both"/>
      </w:pPr>
      <w:bookmarkStart w:id="2" w:name="P133"/>
      <w:bookmarkEnd w:id="2"/>
      <w:r>
        <w:t>4.7. Идентификация, анализ и оценка внутренних рисков в ходе формирования (актуализации) классификаторов внутренних рисков ТОФК осуществляются в следующем порядке:</w:t>
      </w:r>
    </w:p>
    <w:p w:rsidR="00EA226E" w:rsidRDefault="00EA226E">
      <w:pPr>
        <w:pStyle w:val="ConsPlusNormal"/>
        <w:spacing w:before="220"/>
        <w:ind w:firstLine="540"/>
        <w:jc w:val="both"/>
      </w:pPr>
      <w:r>
        <w:t>4.7.1. Выявление внутренних рисков осуществляется путем анализа информации из источников, перечисленных в пункте 4.4 настоящего Стандарта.</w:t>
      </w:r>
    </w:p>
    <w:p w:rsidR="00EA226E" w:rsidRDefault="00EA226E">
      <w:pPr>
        <w:pStyle w:val="ConsPlusNormal"/>
        <w:spacing w:before="220"/>
        <w:ind w:firstLine="540"/>
        <w:jc w:val="both"/>
      </w:pPr>
      <w:r>
        <w:t xml:space="preserve">4.7.2. Объект воздействия внутреннего риска определяется путем отнесения каждого выявленного внутреннего риска к одному или нескольким направлениям деятельности ТОФК, </w:t>
      </w:r>
      <w:proofErr w:type="gramStart"/>
      <w:r>
        <w:t>подверженных</w:t>
      </w:r>
      <w:proofErr w:type="gramEnd"/>
      <w:r>
        <w:t xml:space="preserve"> риску.</w:t>
      </w:r>
    </w:p>
    <w:p w:rsidR="00EA226E" w:rsidRDefault="00EA226E">
      <w:pPr>
        <w:pStyle w:val="ConsPlusNormal"/>
        <w:spacing w:before="220"/>
        <w:ind w:firstLine="540"/>
        <w:jc w:val="both"/>
      </w:pPr>
      <w:r>
        <w:t xml:space="preserve">4.7.3. </w:t>
      </w:r>
      <w:proofErr w:type="gramStart"/>
      <w:r>
        <w:t xml:space="preserve">Анализ и оценка внутренних рисков осуществляются структурными подразделениями ЦАФК, ТОФК в целях определения уровня внутреннего риска экспертным способом путем определения </w:t>
      </w:r>
      <w:r>
        <w:lastRenderedPageBreak/>
        <w:t xml:space="preserve">значимости и вероятности реализации для каждого из выявленных внутренних рисков по каждой операции и действию (в том числе по формированию документов), необходимых для выполнения функций и осуществления полномочий в установленной сфере деятельности (далее - Операция), исходя из указанных в </w:t>
      </w:r>
      <w:hyperlink w:anchor="P137" w:history="1">
        <w:r>
          <w:rPr>
            <w:color w:val="0000FF"/>
          </w:rPr>
          <w:t>пунктах 4.7.3.1</w:t>
        </w:r>
        <w:proofErr w:type="gramEnd"/>
      </w:hyperlink>
      <w:r>
        <w:t xml:space="preserve"> - </w:t>
      </w:r>
      <w:hyperlink w:anchor="P151" w:history="1">
        <w:r>
          <w:rPr>
            <w:color w:val="0000FF"/>
          </w:rPr>
          <w:t>4.7.3.3</w:t>
        </w:r>
      </w:hyperlink>
      <w:r>
        <w:t xml:space="preserve"> настоящего Стандарта критериев.</w:t>
      </w:r>
    </w:p>
    <w:p w:rsidR="00EA226E" w:rsidRDefault="00EA226E">
      <w:pPr>
        <w:pStyle w:val="ConsPlusNormal"/>
        <w:spacing w:before="220"/>
        <w:ind w:firstLine="540"/>
        <w:jc w:val="both"/>
      </w:pPr>
      <w:bookmarkStart w:id="3" w:name="P137"/>
      <w:bookmarkEnd w:id="3"/>
      <w:r>
        <w:t>4.7.3.1. Значимость внутреннего риска устанавливается для каждого внутреннего риска в размере 0,5; 0,8 или 1,0 единицы.</w:t>
      </w:r>
    </w:p>
    <w:p w:rsidR="00EA226E" w:rsidRDefault="00EA226E">
      <w:pPr>
        <w:pStyle w:val="ConsPlusNormal"/>
        <w:spacing w:before="220"/>
        <w:ind w:firstLine="540"/>
        <w:jc w:val="both"/>
      </w:pPr>
      <w:r>
        <w:t>Значимость внутреннего риска устанавливается в размере:</w:t>
      </w:r>
    </w:p>
    <w:p w:rsidR="00EA226E" w:rsidRDefault="00EA226E">
      <w:pPr>
        <w:pStyle w:val="ConsPlusNormal"/>
        <w:spacing w:before="220"/>
        <w:ind w:firstLine="540"/>
        <w:jc w:val="both"/>
      </w:pPr>
      <w:r>
        <w:t>0,5 единицы - для внутренних рисков, являющихся малозначительными, нарушения в случае реализации таких рисков носят формальный и устранимый без негативных последствий характер;</w:t>
      </w:r>
    </w:p>
    <w:p w:rsidR="00EA226E" w:rsidRDefault="00EA226E">
      <w:pPr>
        <w:pStyle w:val="ConsPlusNormal"/>
        <w:spacing w:before="220"/>
        <w:ind w:firstLine="540"/>
        <w:jc w:val="both"/>
      </w:pPr>
      <w:r>
        <w:t xml:space="preserve">0,8 единицы - для внутренних рисков, </w:t>
      </w:r>
      <w:proofErr w:type="gramStart"/>
      <w:r>
        <w:t>нарушения</w:t>
      </w:r>
      <w:proofErr w:type="gramEnd"/>
      <w:r>
        <w:t xml:space="preserve"> в случае реализации которых носят устранимый и (или) несущественный характер (не оказывают существенного влияния на результаты деятельности ТОФК);</w:t>
      </w:r>
    </w:p>
    <w:p w:rsidR="00EA226E" w:rsidRDefault="00EA226E">
      <w:pPr>
        <w:pStyle w:val="ConsPlusNormal"/>
        <w:spacing w:before="220"/>
        <w:ind w:firstLine="540"/>
        <w:jc w:val="both"/>
      </w:pPr>
      <w:r>
        <w:t xml:space="preserve">1,0 единицы - для внутренних рисков, </w:t>
      </w:r>
      <w:proofErr w:type="gramStart"/>
      <w:r>
        <w:t>нарушения</w:t>
      </w:r>
      <w:proofErr w:type="gramEnd"/>
      <w:r>
        <w:t xml:space="preserve"> в случае реализации которых могут существенно негативно воздействовать на результаты деятельности ТОФК либо Федерального казначейства в целом или носят неустранимый характер.</w:t>
      </w:r>
    </w:p>
    <w:p w:rsidR="00EA226E" w:rsidRDefault="00EA226E">
      <w:pPr>
        <w:pStyle w:val="ConsPlusNormal"/>
        <w:spacing w:before="220"/>
        <w:ind w:firstLine="540"/>
        <w:jc w:val="both"/>
      </w:pPr>
      <w:r>
        <w:t>Значимость внутренних рисков, носящих обезличенный характер:</w:t>
      </w:r>
    </w:p>
    <w:p w:rsidR="00EA226E" w:rsidRDefault="00EA226E">
      <w:pPr>
        <w:pStyle w:val="ConsPlusNormal"/>
        <w:spacing w:before="220"/>
        <w:ind w:firstLine="540"/>
        <w:jc w:val="both"/>
      </w:pPr>
      <w:r>
        <w:t>"иные риски...";</w:t>
      </w:r>
    </w:p>
    <w:p w:rsidR="00EA226E" w:rsidRDefault="00EA226E">
      <w:pPr>
        <w:pStyle w:val="ConsPlusNormal"/>
        <w:spacing w:before="220"/>
        <w:ind w:firstLine="540"/>
        <w:jc w:val="both"/>
      </w:pPr>
      <w:r>
        <w:t>"другие риски..."</w:t>
      </w:r>
    </w:p>
    <w:p w:rsidR="00EA226E" w:rsidRDefault="00EA226E">
      <w:pPr>
        <w:pStyle w:val="ConsPlusNormal"/>
        <w:spacing w:before="220"/>
        <w:ind w:firstLine="540"/>
        <w:jc w:val="both"/>
      </w:pPr>
      <w:r>
        <w:t>устанавливается в размере 0,5 единицы.</w:t>
      </w:r>
    </w:p>
    <w:p w:rsidR="00EA226E" w:rsidRDefault="00EA226E">
      <w:pPr>
        <w:pStyle w:val="ConsPlusNormal"/>
        <w:spacing w:before="220"/>
        <w:ind w:firstLine="540"/>
        <w:jc w:val="both"/>
      </w:pPr>
      <w:r>
        <w:t>4.7.3.2. Вероятность реализации внутреннего риска устанавливается для каждого внутреннего риска в размере 0,5; 0,7 или 0,9 единицы.</w:t>
      </w:r>
    </w:p>
    <w:p w:rsidR="00EA226E" w:rsidRDefault="00EA226E">
      <w:pPr>
        <w:pStyle w:val="ConsPlusNormal"/>
        <w:spacing w:before="220"/>
        <w:ind w:firstLine="540"/>
        <w:jc w:val="both"/>
      </w:pPr>
      <w:r>
        <w:t>Вероятность реализации внутреннего риска устанавливается в размере:</w:t>
      </w:r>
    </w:p>
    <w:p w:rsidR="00EA226E" w:rsidRDefault="00EA226E">
      <w:pPr>
        <w:pStyle w:val="ConsPlusNormal"/>
        <w:spacing w:before="220"/>
        <w:ind w:firstLine="540"/>
        <w:jc w:val="both"/>
      </w:pPr>
      <w:r>
        <w:t>0,5 единицы - для внутренних рисков, у которых существует низкая вероятность реализации в ТОФК;</w:t>
      </w:r>
    </w:p>
    <w:p w:rsidR="00EA226E" w:rsidRDefault="00EA226E">
      <w:pPr>
        <w:pStyle w:val="ConsPlusNormal"/>
        <w:spacing w:before="220"/>
        <w:ind w:firstLine="540"/>
        <w:jc w:val="both"/>
      </w:pPr>
      <w:r>
        <w:t>0,7 единицы - для внутренних рисков, у которых существует средняя вероятность реализации в ТОФК;</w:t>
      </w:r>
    </w:p>
    <w:p w:rsidR="00EA226E" w:rsidRDefault="00EA226E">
      <w:pPr>
        <w:pStyle w:val="ConsPlusNormal"/>
        <w:spacing w:before="220"/>
        <w:ind w:firstLine="540"/>
        <w:jc w:val="both"/>
      </w:pPr>
      <w:r>
        <w:t>0,9 единицы - для внутренних рисков, у которых существует высокая вероятность реализации в ТОФК.</w:t>
      </w:r>
    </w:p>
    <w:p w:rsidR="00EA226E" w:rsidRDefault="00EA226E">
      <w:pPr>
        <w:pStyle w:val="ConsPlusNormal"/>
        <w:spacing w:before="220"/>
        <w:ind w:firstLine="540"/>
        <w:jc w:val="both"/>
      </w:pPr>
      <w:bookmarkStart w:id="4" w:name="P151"/>
      <w:bookmarkEnd w:id="4"/>
      <w:r>
        <w:t>4.7.3.3. Уровень внутреннего риска определяется исходя из показателей значимости внутреннего риска и вероятности реализации внутреннего риска.</w:t>
      </w:r>
    </w:p>
    <w:p w:rsidR="00EA226E" w:rsidRDefault="00EA226E">
      <w:pPr>
        <w:pStyle w:val="ConsPlusNormal"/>
        <w:spacing w:before="220"/>
        <w:ind w:firstLine="540"/>
        <w:jc w:val="both"/>
      </w:pPr>
      <w:r>
        <w:t>Уровень внутреннего риска признается низким, если значение значимости конкретного внутреннего риска и вероятности реализации конкретного внутреннего риска одновременно составляют 0,5 единицы.</w:t>
      </w:r>
    </w:p>
    <w:p w:rsidR="00EA226E" w:rsidRDefault="00EA226E">
      <w:pPr>
        <w:pStyle w:val="ConsPlusNormal"/>
        <w:spacing w:before="220"/>
        <w:ind w:firstLine="540"/>
        <w:jc w:val="both"/>
      </w:pPr>
      <w:r>
        <w:t>Уровень внутреннего риска признается высоким в следующих случаях:</w:t>
      </w:r>
    </w:p>
    <w:p w:rsidR="00EA226E" w:rsidRDefault="00EA226E">
      <w:pPr>
        <w:pStyle w:val="ConsPlusNormal"/>
        <w:spacing w:before="220"/>
        <w:ind w:firstLine="540"/>
        <w:jc w:val="both"/>
      </w:pPr>
      <w:r>
        <w:t>значение значимости конкретного внутреннего риска составляет 0,5 единицы, значение вероятности реализации конкретного внутреннего риска - 0,7 единицы;</w:t>
      </w:r>
    </w:p>
    <w:p w:rsidR="00EA226E" w:rsidRDefault="00EA226E">
      <w:pPr>
        <w:pStyle w:val="ConsPlusNormal"/>
        <w:spacing w:before="220"/>
        <w:ind w:firstLine="540"/>
        <w:jc w:val="both"/>
      </w:pPr>
      <w:r>
        <w:t>значение значимости конкретного внутреннего риска составляет 0,8 единицы, значение вероятности реализации конкретного внутреннего риска - 0,5 единицы;</w:t>
      </w:r>
    </w:p>
    <w:p w:rsidR="00EA226E" w:rsidRDefault="00EA226E">
      <w:pPr>
        <w:pStyle w:val="ConsPlusNormal"/>
        <w:spacing w:before="220"/>
        <w:ind w:firstLine="540"/>
        <w:jc w:val="both"/>
      </w:pPr>
      <w:r>
        <w:t>значение значимости конкретного внутреннего риска составляет 0,8 единицы, значение вероятности реализации конкретного внутреннего риска - 0,7 единицы.</w:t>
      </w:r>
    </w:p>
    <w:p w:rsidR="00EA226E" w:rsidRDefault="00EA226E">
      <w:pPr>
        <w:pStyle w:val="ConsPlusNormal"/>
        <w:spacing w:before="220"/>
        <w:ind w:firstLine="540"/>
        <w:jc w:val="both"/>
      </w:pPr>
      <w:r>
        <w:t>В иных случаях уровень внутреннего риска признается критическим.</w:t>
      </w:r>
    </w:p>
    <w:p w:rsidR="00EA226E" w:rsidRDefault="00EA226E">
      <w:pPr>
        <w:pStyle w:val="ConsPlusNormal"/>
        <w:spacing w:before="220"/>
        <w:ind w:firstLine="540"/>
        <w:jc w:val="both"/>
      </w:pPr>
      <w:r>
        <w:lastRenderedPageBreak/>
        <w:t xml:space="preserve">4.7.4. Результаты идентификации, анализа и оценки внутренних рисков в ходе формирования (актуализации) классификаторов внутренних рисков ТОФК отражаются по форме согласно </w:t>
      </w:r>
      <w:hyperlink w:anchor="P274" w:history="1">
        <w:r>
          <w:rPr>
            <w:color w:val="0000FF"/>
          </w:rPr>
          <w:t>приложению N 1</w:t>
        </w:r>
      </w:hyperlink>
      <w:r>
        <w:t xml:space="preserve"> к настоящему Стандарту.</w:t>
      </w:r>
    </w:p>
    <w:p w:rsidR="00EA226E" w:rsidRDefault="00EA226E">
      <w:pPr>
        <w:pStyle w:val="ConsPlusNormal"/>
        <w:spacing w:before="220"/>
        <w:ind w:firstLine="540"/>
        <w:jc w:val="both"/>
      </w:pPr>
      <w:r>
        <w:t>4.7.5. Контрольно-аудиторское подразделение Федерального казначейства при участии заинтересованных структурных подразделений ЦАФК обеспечивает формирование классификаторов внутренних рисков ТОФК и их утверждение приказами Федерального казначейства в порядке, установленном в Федеральном казначействе.</w:t>
      </w:r>
    </w:p>
    <w:p w:rsidR="00EA226E" w:rsidRDefault="00EA226E">
      <w:pPr>
        <w:pStyle w:val="ConsPlusNormal"/>
        <w:spacing w:before="220"/>
        <w:ind w:firstLine="540"/>
        <w:jc w:val="both"/>
      </w:pPr>
      <w:r>
        <w:t>Контрольно-аудиторское подразделение Федерального казначейства вправе привлекать ТОФК к формированию документов, указанных в настоящем пункте Стандарта.</w:t>
      </w:r>
    </w:p>
    <w:p w:rsidR="00EA226E" w:rsidRDefault="00EA226E">
      <w:pPr>
        <w:pStyle w:val="ConsPlusNormal"/>
        <w:spacing w:before="220"/>
        <w:ind w:firstLine="540"/>
        <w:jc w:val="both"/>
      </w:pPr>
      <w:r>
        <w:t xml:space="preserve">4.7.6. </w:t>
      </w:r>
      <w:proofErr w:type="gramStart"/>
      <w:r>
        <w:t xml:space="preserve">Сформированные в соответствии с настоящим пунктом Стандарта классификаторы внутренних рисков ТОФК применяются при осуществлении контрольной и аудиторской деятельности в соответствии со </w:t>
      </w:r>
      <w:hyperlink r:id="rId19" w:history="1">
        <w:r>
          <w:rPr>
            <w:color w:val="0000FF"/>
          </w:rPr>
          <w:t>Стандартами</w:t>
        </w:r>
      </w:hyperlink>
      <w:r>
        <w:t xml:space="preserve"> ВК и ВА, при осуществлении интегральной оценки деятельности ТОФК по итогам контрольных и аудиторских мероприятий в порядке, установленном в Федеральном казначействе, а также в иных случаях, установленных в соответствии с приказами Федерального казначейства.</w:t>
      </w:r>
      <w:proofErr w:type="gramEnd"/>
    </w:p>
    <w:p w:rsidR="00EA226E" w:rsidRDefault="00EA226E">
      <w:pPr>
        <w:pStyle w:val="ConsPlusNormal"/>
        <w:spacing w:before="220"/>
        <w:ind w:firstLine="540"/>
        <w:jc w:val="both"/>
      </w:pPr>
      <w:r>
        <w:t>4.8. Идентификация, анализ и оценка внутренних рисков при осуществлении внутреннего контроля методами "самоконтроль", "контроль по уровню подчиненности", "смежный контроль" осуществляются в следующем порядке:</w:t>
      </w:r>
    </w:p>
    <w:p w:rsidR="00EA226E" w:rsidRDefault="00EA226E">
      <w:pPr>
        <w:pStyle w:val="ConsPlusNormal"/>
        <w:spacing w:before="220"/>
        <w:ind w:firstLine="540"/>
        <w:jc w:val="both"/>
      </w:pPr>
      <w:r>
        <w:t xml:space="preserve">4.8.1. Выявление внутренних рисков осуществляется путем анализа информации из источников, перечисленных в </w:t>
      </w:r>
      <w:hyperlink w:anchor="P120" w:history="1">
        <w:r>
          <w:rPr>
            <w:color w:val="0000FF"/>
          </w:rPr>
          <w:t>пункте 4.4</w:t>
        </w:r>
      </w:hyperlink>
      <w:r>
        <w:t xml:space="preserve"> настоящего Стандарта.</w:t>
      </w:r>
    </w:p>
    <w:p w:rsidR="00EA226E" w:rsidRDefault="00EA226E">
      <w:pPr>
        <w:pStyle w:val="ConsPlusNormal"/>
        <w:spacing w:before="220"/>
        <w:ind w:firstLine="540"/>
        <w:jc w:val="both"/>
      </w:pPr>
      <w:r>
        <w:t>Выявление внутренних рисков осуществляется с учетом повторяемости Операций, а также с учетом существенности их влияния на результаты выполнения функций и осуществления полномочий в установленной сфере деятельности.</w:t>
      </w:r>
    </w:p>
    <w:p w:rsidR="00EA226E" w:rsidRDefault="00EA226E">
      <w:pPr>
        <w:pStyle w:val="ConsPlusNormal"/>
        <w:spacing w:before="220"/>
        <w:ind w:firstLine="540"/>
        <w:jc w:val="both"/>
      </w:pPr>
      <w:r>
        <w:t>В ходе выявления внутренних рисков для каждой Операции определяется перечень внутренних рисков, возникающих при выполнении Операции (не менее двух рисков для каждой Операции).</w:t>
      </w:r>
    </w:p>
    <w:p w:rsidR="00EA226E" w:rsidRDefault="00EA226E">
      <w:pPr>
        <w:pStyle w:val="ConsPlusNormal"/>
        <w:spacing w:before="220"/>
        <w:ind w:firstLine="540"/>
        <w:jc w:val="both"/>
      </w:pPr>
      <w:r>
        <w:t>4.8.2. Объект воздействия внутреннего риска определяется путем установления Операций в деятельности соответствующего структурного подразделения органа Федерального казначейства, ФКУ "ЦОКР", подверженных риску, для каждого из выявленных рисков.</w:t>
      </w:r>
    </w:p>
    <w:p w:rsidR="00EA226E" w:rsidRDefault="00EA226E">
      <w:pPr>
        <w:pStyle w:val="ConsPlusNormal"/>
        <w:spacing w:before="220"/>
        <w:ind w:firstLine="540"/>
        <w:jc w:val="both"/>
      </w:pPr>
      <w:r>
        <w:t xml:space="preserve">4.8.3. </w:t>
      </w:r>
      <w:proofErr w:type="gramStart"/>
      <w:r>
        <w:t>Анализ и оценка внутренних рисков, возникающих в деятельности структурных подразделений, выполняющих внутренние бюджетные процедуры, осуществляются структурными подразделениями ЦАФК, ответственными за результаты выполнения внутренней бюджетной процедуры, перечень которых устанавливается приказом Федерального казначейства (далее - структурные подразделения ЦАФК, ответственные за результаты выполнения внутренней бюджетной процедуры), структурными подразделениями ТОФК, ФКУ "ЦОКР" экспертным способом в ходе формирования перечня Операций в установленном Стандартом внутреннего контроля порядке</w:t>
      </w:r>
      <w:proofErr w:type="gramEnd"/>
      <w:r>
        <w:t>.</w:t>
      </w:r>
    </w:p>
    <w:p w:rsidR="00EA226E" w:rsidRDefault="00EA226E">
      <w:pPr>
        <w:pStyle w:val="ConsPlusNormal"/>
        <w:spacing w:before="220"/>
        <w:ind w:firstLine="540"/>
        <w:jc w:val="both"/>
      </w:pPr>
      <w:r>
        <w:t xml:space="preserve">4.8.4. В целях формирования перечня Операций структурными подразделениями ЦАФК, ответственными за результаты выполнения внутренней бюджетной процедуры, структурными подразделениями ТОФК, ФКУ "ЦОКР" ведутся реестры внутренних рисков по форме согласно </w:t>
      </w:r>
      <w:hyperlink w:anchor="P375" w:history="1">
        <w:r>
          <w:rPr>
            <w:color w:val="0000FF"/>
          </w:rPr>
          <w:t>приложению N 2</w:t>
        </w:r>
      </w:hyperlink>
      <w:r>
        <w:t xml:space="preserve"> к настоящему Стандарту.</w:t>
      </w:r>
    </w:p>
    <w:p w:rsidR="00EA226E" w:rsidRDefault="00EA226E">
      <w:pPr>
        <w:pStyle w:val="ConsPlusNormal"/>
        <w:spacing w:before="220"/>
        <w:ind w:firstLine="540"/>
        <w:jc w:val="both"/>
      </w:pPr>
      <w:proofErr w:type="gramStart"/>
      <w:r>
        <w:t xml:space="preserve">В реестре внутренних рисков для каждой Операции структурными подразделениями ЦАФК, ответственными за результаты выполнения внутренней бюджетной процедуры, структурными подразделениями ТОФК, ФКУ "ЦОКР" с учетом информации, содержащейся в источниках информации, перечисленных в </w:t>
      </w:r>
      <w:hyperlink w:anchor="P120" w:history="1">
        <w:r>
          <w:rPr>
            <w:color w:val="0000FF"/>
          </w:rPr>
          <w:t>пункте 4.4</w:t>
        </w:r>
      </w:hyperlink>
      <w:r>
        <w:t xml:space="preserve"> настоящего Стандарта, составляется перечень внутренних рисков (не менее двух рисков для каждой Операции) с указанием их значимости, вероятности и уровня, исходя из указанных в </w:t>
      </w:r>
      <w:hyperlink w:anchor="P170" w:history="1">
        <w:r>
          <w:rPr>
            <w:color w:val="0000FF"/>
          </w:rPr>
          <w:t>пунктах 4.8.4.1</w:t>
        </w:r>
      </w:hyperlink>
      <w:r>
        <w:t xml:space="preserve"> - </w:t>
      </w:r>
      <w:hyperlink w:anchor="P180" w:history="1">
        <w:r>
          <w:rPr>
            <w:color w:val="0000FF"/>
          </w:rPr>
          <w:t>4.8.4.3</w:t>
        </w:r>
        <w:proofErr w:type="gramEnd"/>
      </w:hyperlink>
      <w:r>
        <w:t xml:space="preserve"> настоящего Стандарта критериев.</w:t>
      </w:r>
    </w:p>
    <w:p w:rsidR="00EA226E" w:rsidRDefault="00EA226E">
      <w:pPr>
        <w:pStyle w:val="ConsPlusNormal"/>
        <w:spacing w:before="220"/>
        <w:ind w:firstLine="540"/>
        <w:jc w:val="both"/>
      </w:pPr>
      <w:bookmarkStart w:id="5" w:name="P170"/>
      <w:bookmarkEnd w:id="5"/>
      <w:r>
        <w:lastRenderedPageBreak/>
        <w:t>4.8.4.1. Значимость внутреннего риска устанавливается для каждого внутреннего риска в размере 0,5; 0,8 или 1,0 единицы.</w:t>
      </w:r>
    </w:p>
    <w:p w:rsidR="00EA226E" w:rsidRDefault="00EA226E">
      <w:pPr>
        <w:pStyle w:val="ConsPlusNormal"/>
        <w:spacing w:before="220"/>
        <w:ind w:firstLine="540"/>
        <w:jc w:val="both"/>
      </w:pPr>
      <w:r>
        <w:t>Значимость внутреннего риска устанавливается в размере:</w:t>
      </w:r>
    </w:p>
    <w:p w:rsidR="00EA226E" w:rsidRDefault="00EA226E">
      <w:pPr>
        <w:pStyle w:val="ConsPlusNormal"/>
        <w:spacing w:before="220"/>
        <w:ind w:firstLine="540"/>
        <w:jc w:val="both"/>
      </w:pPr>
      <w:r>
        <w:t>0,5 единицы - для внутренних рисков, являющихся малозначительными, нарушения в случае реализации таких рисков носят формальный и устранимый без негативных последствий характер;</w:t>
      </w:r>
    </w:p>
    <w:p w:rsidR="00EA226E" w:rsidRDefault="00EA226E">
      <w:pPr>
        <w:pStyle w:val="ConsPlusNormal"/>
        <w:spacing w:before="220"/>
        <w:ind w:firstLine="540"/>
        <w:jc w:val="both"/>
      </w:pPr>
      <w:r>
        <w:t xml:space="preserve">0,8 единицы - для внутренних рисков, </w:t>
      </w:r>
      <w:proofErr w:type="gramStart"/>
      <w:r>
        <w:t>нарушения</w:t>
      </w:r>
      <w:proofErr w:type="gramEnd"/>
      <w:r>
        <w:t xml:space="preserve"> в случае реализации которых носят устранимый и (или) несущественный характер (не оказывают существенного влияния на результаты деятельности структурного подразделения ЦАФК, ответственного за результаты выполнения внутренней бюджетной процедуры, структурного подразделения ТОФК, ФКУ "ЦОКР");</w:t>
      </w:r>
    </w:p>
    <w:p w:rsidR="00EA226E" w:rsidRDefault="00EA226E">
      <w:pPr>
        <w:pStyle w:val="ConsPlusNormal"/>
        <w:spacing w:before="220"/>
        <w:ind w:firstLine="540"/>
        <w:jc w:val="both"/>
      </w:pPr>
      <w:r>
        <w:t xml:space="preserve">1,0 единицы - для внутренних рисков, </w:t>
      </w:r>
      <w:proofErr w:type="gramStart"/>
      <w:r>
        <w:t>нарушения</w:t>
      </w:r>
      <w:proofErr w:type="gramEnd"/>
      <w:r>
        <w:t xml:space="preserve"> в случае реализации которых могут существенно негативно воздействовать на результаты деятельности структурного подразделения ЦАФК, ответственного за результаты выполнения внутренней бюджетной процедуры, структурного подразделения ТОФК, ФКУ "ЦОКР" либо Федерального казначейства в целом или носят неустранимый характер.</w:t>
      </w:r>
    </w:p>
    <w:p w:rsidR="00EA226E" w:rsidRDefault="00EA226E">
      <w:pPr>
        <w:pStyle w:val="ConsPlusNormal"/>
        <w:spacing w:before="220"/>
        <w:ind w:firstLine="540"/>
        <w:jc w:val="both"/>
      </w:pPr>
      <w:r>
        <w:t>4.8.4.2. Вероятность реализации внутреннего риска устанавливается для каждого внутреннего риска в размере 0,5; 0,7 или 0,9 единицы.</w:t>
      </w:r>
    </w:p>
    <w:p w:rsidR="00EA226E" w:rsidRDefault="00EA226E">
      <w:pPr>
        <w:pStyle w:val="ConsPlusNormal"/>
        <w:spacing w:before="220"/>
        <w:ind w:firstLine="540"/>
        <w:jc w:val="both"/>
      </w:pPr>
      <w:r>
        <w:t>Вероятность реализации внутреннего риска устанавливается в размере:</w:t>
      </w:r>
    </w:p>
    <w:p w:rsidR="00EA226E" w:rsidRDefault="00EA226E">
      <w:pPr>
        <w:pStyle w:val="ConsPlusNormal"/>
        <w:spacing w:before="220"/>
        <w:ind w:firstLine="540"/>
        <w:jc w:val="both"/>
      </w:pPr>
      <w:proofErr w:type="gramStart"/>
      <w:r>
        <w:t>0,5 единицы - для внутренних рисков, у которых существует низкая вероятность реализации в структурном подразделении ЦАФК, ответственном за результаты выполнения внутренней бюджетной процедуры, структурном подразделении ТОФК, ФКУ "ЦОКР";</w:t>
      </w:r>
      <w:proofErr w:type="gramEnd"/>
    </w:p>
    <w:p w:rsidR="00EA226E" w:rsidRDefault="00EA226E">
      <w:pPr>
        <w:pStyle w:val="ConsPlusNormal"/>
        <w:spacing w:before="220"/>
        <w:ind w:firstLine="540"/>
        <w:jc w:val="both"/>
      </w:pPr>
      <w:r>
        <w:t>0,7 единицы - для внутренних рисков, у которых существует средняя вероятность реализации в структурном подразделении ЦАФК, ответственном за результаты выполнения внутренней бюджетной процедуры, структурном подразделении ТОФК, ФКУ "ЦОКР";</w:t>
      </w:r>
    </w:p>
    <w:p w:rsidR="00EA226E" w:rsidRDefault="00EA226E">
      <w:pPr>
        <w:pStyle w:val="ConsPlusNormal"/>
        <w:spacing w:before="220"/>
        <w:ind w:firstLine="540"/>
        <w:jc w:val="both"/>
      </w:pPr>
      <w:r>
        <w:t>0,9 единицы - для внутренних рисков, у которых существует высокая вероятность реализации в структурном подразделении ЦАФК, ответственном за результаты выполнения внутренней бюджетной процедуры, структурном подразделении ТОФК, ФКУ "ЦОКР".</w:t>
      </w:r>
    </w:p>
    <w:p w:rsidR="00EA226E" w:rsidRDefault="00EA226E">
      <w:pPr>
        <w:pStyle w:val="ConsPlusNormal"/>
        <w:spacing w:before="220"/>
        <w:ind w:firstLine="540"/>
        <w:jc w:val="both"/>
      </w:pPr>
      <w:bookmarkStart w:id="6" w:name="P180"/>
      <w:bookmarkEnd w:id="6"/>
      <w:r>
        <w:t>4.8.4.3. Уровень внутреннего риска определяется исходя из показателей значимости внутреннего риска и вероятности реализации внутреннего риска.</w:t>
      </w:r>
    </w:p>
    <w:p w:rsidR="00EA226E" w:rsidRDefault="00EA226E">
      <w:pPr>
        <w:pStyle w:val="ConsPlusNormal"/>
        <w:spacing w:before="220"/>
        <w:ind w:firstLine="540"/>
        <w:jc w:val="both"/>
      </w:pPr>
      <w:r>
        <w:t>Уровень внутреннего риска признается низким, если значение значимости конкретного внутреннего риска и вероятности реализации конкретного внутреннего риска одновременно составляют 0,5 единицы.</w:t>
      </w:r>
    </w:p>
    <w:p w:rsidR="00EA226E" w:rsidRDefault="00EA226E">
      <w:pPr>
        <w:pStyle w:val="ConsPlusNormal"/>
        <w:spacing w:before="220"/>
        <w:ind w:firstLine="540"/>
        <w:jc w:val="both"/>
      </w:pPr>
      <w:r>
        <w:t>Уровень внутреннего риска признается высоким в следующих случаях:</w:t>
      </w:r>
    </w:p>
    <w:p w:rsidR="00EA226E" w:rsidRDefault="00EA226E">
      <w:pPr>
        <w:pStyle w:val="ConsPlusNormal"/>
        <w:spacing w:before="220"/>
        <w:ind w:firstLine="540"/>
        <w:jc w:val="both"/>
      </w:pPr>
      <w:r>
        <w:t>значение значимости конкретного внутреннего риска составляет 0,5 единицы, значение вероятности реализации конкретного внутреннего риска - 0,7 единицы;</w:t>
      </w:r>
    </w:p>
    <w:p w:rsidR="00EA226E" w:rsidRDefault="00EA226E">
      <w:pPr>
        <w:pStyle w:val="ConsPlusNormal"/>
        <w:spacing w:before="220"/>
        <w:ind w:firstLine="540"/>
        <w:jc w:val="both"/>
      </w:pPr>
      <w:r>
        <w:t>значение значимости конкретного внутреннего риска составляет 0,8 единицы, значение вероятности реализации конкретного внутреннего риска - 0,5 единицы;</w:t>
      </w:r>
    </w:p>
    <w:p w:rsidR="00EA226E" w:rsidRDefault="00EA226E">
      <w:pPr>
        <w:pStyle w:val="ConsPlusNormal"/>
        <w:spacing w:before="220"/>
        <w:ind w:firstLine="540"/>
        <w:jc w:val="both"/>
      </w:pPr>
      <w:r>
        <w:t>значение значимости конкретного внутреннего риска составляет 0,8 единицы, значение вероятности реализации конкретного внутреннего риска - 0,7 единицы.</w:t>
      </w:r>
    </w:p>
    <w:p w:rsidR="00EA226E" w:rsidRDefault="00EA226E">
      <w:pPr>
        <w:pStyle w:val="ConsPlusNormal"/>
        <w:spacing w:before="220"/>
        <w:ind w:firstLine="540"/>
        <w:jc w:val="both"/>
      </w:pPr>
      <w:r>
        <w:t>В иных случаях уровень внутреннего риска признается критическим.</w:t>
      </w:r>
    </w:p>
    <w:p w:rsidR="00EA226E" w:rsidRDefault="00EA226E">
      <w:pPr>
        <w:pStyle w:val="ConsPlusNormal"/>
        <w:spacing w:before="220"/>
        <w:ind w:firstLine="540"/>
        <w:jc w:val="both"/>
      </w:pPr>
      <w:bookmarkStart w:id="7" w:name="P187"/>
      <w:bookmarkEnd w:id="7"/>
      <w:r>
        <w:t xml:space="preserve">4.8.5. </w:t>
      </w:r>
      <w:proofErr w:type="gramStart"/>
      <w:r>
        <w:t xml:space="preserve">Результаты идентификации, анализа и оценки внутренних рисков отражаются в перечне Операций структурного подразделения ЦАФК, ответственного за результаты выполнения внутренней бюджетной процедуры, структурного подразделения ТОФК, ФКУ "ЦОКР" путем внесения в него </w:t>
      </w:r>
      <w:r>
        <w:lastRenderedPageBreak/>
        <w:t>информации об Операциях - предметах внутреннего контроля по тем рискам, в отношении которых принято решение о применении способа реагирования "контроль (снижение) внутреннего риска".</w:t>
      </w:r>
      <w:proofErr w:type="gramEnd"/>
    </w:p>
    <w:p w:rsidR="00EA226E" w:rsidRDefault="00EA226E">
      <w:pPr>
        <w:pStyle w:val="ConsPlusNormal"/>
        <w:spacing w:before="220"/>
        <w:ind w:firstLine="540"/>
        <w:jc w:val="both"/>
      </w:pPr>
      <w:r>
        <w:t>В Перечень операций в обязательном порядке подлежат включению Операции, для которых уровень внутреннего риска признан высоким или критическим.</w:t>
      </w:r>
    </w:p>
    <w:p w:rsidR="00EA226E" w:rsidRDefault="00EA226E">
      <w:pPr>
        <w:pStyle w:val="ConsPlusNormal"/>
        <w:spacing w:before="220"/>
        <w:ind w:firstLine="540"/>
        <w:jc w:val="both"/>
      </w:pPr>
      <w:r>
        <w:t xml:space="preserve">4.8.6. Результаты идентификации, анализа и оценки внутренних рисков, полученные в соответствии с </w:t>
      </w:r>
      <w:hyperlink w:anchor="P187" w:history="1">
        <w:r>
          <w:rPr>
            <w:color w:val="0000FF"/>
          </w:rPr>
          <w:t>пунктом 4.8.5</w:t>
        </w:r>
      </w:hyperlink>
      <w:r>
        <w:t xml:space="preserve"> настоящего Стандарта, учитываются при формировании (актуализации) структурным подразделением ЦАФК, ответственным за результаты выполнения внутренней бюджетной процедуры, структурным подразделением ТОФК, ФКУ "ЦОКР" карты внутреннего контроля на очередной год в установленном Стандартом внутреннего контроля порядке.</w:t>
      </w:r>
    </w:p>
    <w:p w:rsidR="00EA226E" w:rsidRDefault="00EA226E">
      <w:pPr>
        <w:pStyle w:val="ConsPlusNormal"/>
        <w:jc w:val="both"/>
      </w:pPr>
    </w:p>
    <w:p w:rsidR="00EA226E" w:rsidRDefault="00EA226E">
      <w:pPr>
        <w:pStyle w:val="ConsPlusTitle"/>
        <w:jc w:val="center"/>
        <w:outlineLvl w:val="1"/>
      </w:pPr>
      <w:r>
        <w:t>V. Выбор способа реагирования на внутренние риски</w:t>
      </w:r>
    </w:p>
    <w:p w:rsidR="00EA226E" w:rsidRDefault="00EA226E">
      <w:pPr>
        <w:pStyle w:val="ConsPlusNormal"/>
        <w:jc w:val="both"/>
      </w:pPr>
    </w:p>
    <w:p w:rsidR="00EA226E" w:rsidRDefault="00EA226E">
      <w:pPr>
        <w:pStyle w:val="ConsPlusNormal"/>
        <w:ind w:firstLine="540"/>
        <w:jc w:val="both"/>
      </w:pPr>
      <w:r>
        <w:t>5.1. В органах Федерального казначейства, ФКУ "ЦОКР" применяются следующие способы реагирования на внутренние риски:</w:t>
      </w:r>
    </w:p>
    <w:p w:rsidR="00EA226E" w:rsidRDefault="00EA226E">
      <w:pPr>
        <w:pStyle w:val="ConsPlusNormal"/>
        <w:spacing w:before="220"/>
        <w:ind w:firstLine="540"/>
        <w:jc w:val="both"/>
      </w:pPr>
      <w:r>
        <w:t>принятие внутреннего риска;</w:t>
      </w:r>
    </w:p>
    <w:p w:rsidR="00EA226E" w:rsidRDefault="00EA226E">
      <w:pPr>
        <w:pStyle w:val="ConsPlusNormal"/>
        <w:spacing w:before="220"/>
        <w:ind w:firstLine="540"/>
        <w:jc w:val="both"/>
      </w:pPr>
      <w:proofErr w:type="gramStart"/>
      <w:r>
        <w:t>избежание</w:t>
      </w:r>
      <w:proofErr w:type="gramEnd"/>
      <w:r>
        <w:t xml:space="preserve"> внутреннего риска;</w:t>
      </w:r>
    </w:p>
    <w:p w:rsidR="00EA226E" w:rsidRDefault="00EA226E">
      <w:pPr>
        <w:pStyle w:val="ConsPlusNormal"/>
        <w:spacing w:before="220"/>
        <w:ind w:firstLine="540"/>
        <w:jc w:val="both"/>
      </w:pPr>
      <w:r>
        <w:t>контроль (снижение) внутреннего риска.</w:t>
      </w:r>
    </w:p>
    <w:p w:rsidR="00EA226E" w:rsidRDefault="00EA226E">
      <w:pPr>
        <w:pStyle w:val="ConsPlusNormal"/>
        <w:spacing w:before="220"/>
        <w:ind w:firstLine="540"/>
        <w:jc w:val="both"/>
      </w:pPr>
      <w:r>
        <w:t xml:space="preserve">5.2. Принятие внутреннего риска </w:t>
      </w:r>
      <w:proofErr w:type="gramStart"/>
      <w:r>
        <w:t>осуществляется</w:t>
      </w:r>
      <w:proofErr w:type="gramEnd"/>
      <w:r>
        <w:t xml:space="preserve"> в случае если доступные способы снижения внутреннего риска не позволяют его минимизировать либо являются нецелесообразными (излишне ресурсоемкими) по сравнению с негативными последствиями, которые может нанести реализация соответствующего риска.</w:t>
      </w:r>
    </w:p>
    <w:p w:rsidR="00EA226E" w:rsidRDefault="00EA226E">
      <w:pPr>
        <w:pStyle w:val="ConsPlusNormal"/>
        <w:spacing w:before="220"/>
        <w:ind w:firstLine="540"/>
        <w:jc w:val="both"/>
      </w:pPr>
      <w:r>
        <w:t>Данный способ реагирования на риски не может быть применен к внутренним рискам с высокой (1,0) значимостью.</w:t>
      </w:r>
    </w:p>
    <w:p w:rsidR="00EA226E" w:rsidRDefault="00EA226E">
      <w:pPr>
        <w:pStyle w:val="ConsPlusNormal"/>
        <w:spacing w:before="220"/>
        <w:ind w:firstLine="540"/>
        <w:jc w:val="both"/>
      </w:pPr>
      <w:r>
        <w:t xml:space="preserve">5.3. </w:t>
      </w:r>
      <w:proofErr w:type="gramStart"/>
      <w:r>
        <w:t>Избежание внутреннего риска предполагает изменение внутренних процедур в структурном подразделении органа Федерального казначейства, ФКУ "ЦОКР" путем обеспечения их корректировки, не противоречащей требованиям законодательных и иных нормативных правовых актов Российской Федерации, нормативных правовых и правовых актов Министерства финансов Российской Федерации и Федерального казначейства, технологических регламентов, иных документов, регламентирующих деятельность органов Федерального казначейства, ФКУ "ЦОКР", исполнение которых приводит к систематическому возникновению внутренних</w:t>
      </w:r>
      <w:proofErr w:type="gramEnd"/>
      <w:r>
        <w:t xml:space="preserve"> рисков.</w:t>
      </w:r>
    </w:p>
    <w:p w:rsidR="00EA226E" w:rsidRDefault="00EA226E">
      <w:pPr>
        <w:pStyle w:val="ConsPlusNormal"/>
        <w:spacing w:before="220"/>
        <w:ind w:firstLine="540"/>
        <w:jc w:val="both"/>
      </w:pPr>
      <w:r>
        <w:t>Данный способ реагирования на внутренние риски применяется при организации внутренних процедур в структурных подразделениях органов Федерального казначейства, ФКУ "ЦОКР".</w:t>
      </w:r>
    </w:p>
    <w:p w:rsidR="00EA226E" w:rsidRDefault="00EA226E">
      <w:pPr>
        <w:pStyle w:val="ConsPlusNormal"/>
        <w:spacing w:before="220"/>
        <w:ind w:firstLine="540"/>
        <w:jc w:val="both"/>
      </w:pPr>
      <w:r>
        <w:t xml:space="preserve">В случае если для </w:t>
      </w:r>
      <w:proofErr w:type="spellStart"/>
      <w:r>
        <w:t>избежания</w:t>
      </w:r>
      <w:proofErr w:type="spellEnd"/>
      <w:r>
        <w:t xml:space="preserve"> внутреннего риска требуется изменение законодательных и иных нормативных правовых актов Российской Федерации, нормативных правовых и правовых актов Министерства финансов Российской Федерации и Федерального казначейства, технологических регламентов, а также указаний иных уполномоченных органов государственной власти, соответствующие предложения направляются в следующем порядке:</w:t>
      </w:r>
    </w:p>
    <w:p w:rsidR="00EA226E" w:rsidRDefault="00EA226E">
      <w:pPr>
        <w:pStyle w:val="ConsPlusNormal"/>
        <w:spacing w:before="220"/>
        <w:ind w:firstLine="540"/>
        <w:jc w:val="both"/>
      </w:pPr>
      <w:r>
        <w:t>в случае необходимости изменения законодательных и иных нормативных правовых актов Российской Федерации, нормативных правовых и правовых актов Министерства финансов Российской Федерации, иных уполномоченных органов государственной власти (за исключением Федерального казначейства) - ЦАФК в адрес соответствующего органа государственной власти, а ТОФК, ФКУ "ЦОКР" - в адрес ЦАФК;</w:t>
      </w:r>
    </w:p>
    <w:p w:rsidR="00EA226E" w:rsidRDefault="00EA226E">
      <w:pPr>
        <w:pStyle w:val="ConsPlusNormal"/>
        <w:spacing w:before="220"/>
        <w:ind w:firstLine="540"/>
        <w:jc w:val="both"/>
      </w:pPr>
      <w:r>
        <w:t xml:space="preserve">в случае необходимости изменения нормативных правовых и правовых актов, технологических регламентов и указаний Федерального казначейства - структурными подразделениями ЦАФК, а также </w:t>
      </w:r>
      <w:r>
        <w:lastRenderedPageBreak/>
        <w:t>ТОФК, ФКУ "ЦОКР" - в адрес структурных подразделений ЦАФК, уполномоченных на разработку соответствующих документов в соответствии с положением о таком структурном подразделении ЦАФК, утвержденным приказом Федерального казначейства.</w:t>
      </w:r>
    </w:p>
    <w:p w:rsidR="00EA226E" w:rsidRDefault="00EA226E">
      <w:pPr>
        <w:pStyle w:val="ConsPlusNormal"/>
        <w:spacing w:before="220"/>
        <w:ind w:firstLine="540"/>
        <w:jc w:val="both"/>
      </w:pPr>
      <w:r>
        <w:t>5.4. Контроль (снижение) внутреннего риска предусматривает осуществление комплекса организационных, методологических и информационно-технологических мероприятий, направленных на снижение вероятности реализации определенного внутреннего риска в структурном подразделении органа Федерального казначейства, ФКУ "ЦОКР", а также минимизацию последствий в случае реализации такого риска.</w:t>
      </w:r>
    </w:p>
    <w:p w:rsidR="00EA226E" w:rsidRDefault="00EA226E">
      <w:pPr>
        <w:pStyle w:val="ConsPlusNormal"/>
        <w:spacing w:before="220"/>
        <w:ind w:firstLine="540"/>
        <w:jc w:val="both"/>
      </w:pPr>
      <w:r>
        <w:t>Указанный комплекс мероприятий может включать одно или несколько из нижеуказанных мероприятий:</w:t>
      </w:r>
    </w:p>
    <w:p w:rsidR="00EA226E" w:rsidRDefault="00EA226E">
      <w:pPr>
        <w:pStyle w:val="ConsPlusNormal"/>
        <w:spacing w:before="220"/>
        <w:ind w:firstLine="540"/>
        <w:jc w:val="both"/>
      </w:pPr>
      <w:r>
        <w:t xml:space="preserve">включение внутренних рисков в классификаторы внутренних рисков ТОФК в соответствии с </w:t>
      </w:r>
      <w:hyperlink w:anchor="P133" w:history="1">
        <w:r>
          <w:rPr>
            <w:color w:val="0000FF"/>
          </w:rPr>
          <w:t>пунктом 4.7</w:t>
        </w:r>
      </w:hyperlink>
      <w:r>
        <w:t xml:space="preserve"> настоящего Стандарта;</w:t>
      </w:r>
    </w:p>
    <w:p w:rsidR="00EA226E" w:rsidRDefault="00EA226E">
      <w:pPr>
        <w:pStyle w:val="ConsPlusNormal"/>
        <w:spacing w:before="220"/>
        <w:ind w:firstLine="540"/>
        <w:jc w:val="both"/>
      </w:pPr>
      <w:r>
        <w:t>включение контрольных действий, совершаемых в отношении Операций, осуществляемых в структурных подразделениях ЦАФК, ответственных за результаты выполнения внутренней бюджетной процедуры, структурных подразделениях ТОФК, ФКУ "ЦОКР", в карты внутреннего контроля на очередной год соответствующего структурного подразделения органа Федерального казначейства, ФКУ "ЦОКР" в установленном Стандартом внутреннего контроля порядке;</w:t>
      </w:r>
    </w:p>
    <w:p w:rsidR="00EA226E" w:rsidRDefault="00EA226E">
      <w:pPr>
        <w:pStyle w:val="ConsPlusNormal"/>
        <w:spacing w:before="220"/>
        <w:ind w:firstLine="540"/>
        <w:jc w:val="both"/>
      </w:pPr>
      <w:r>
        <w:t>выработку предложений по внесению изменений в законодательные и иные нормативные правовые акты Российской Федерации, нормативные правовые и правовые акты уполномоченных органов государственной власти, технологические регламенты;</w:t>
      </w:r>
    </w:p>
    <w:p w:rsidR="00EA226E" w:rsidRDefault="00EA226E">
      <w:pPr>
        <w:pStyle w:val="ConsPlusNormal"/>
        <w:spacing w:before="220"/>
        <w:ind w:firstLine="540"/>
        <w:jc w:val="both"/>
      </w:pPr>
      <w:r>
        <w:t>выработку предложений по автоматизации Операций, осуществляемых в структурных подразделениях органов Федерального казначейства, ФКУ "ЦОКР", а также по осуществлению в отношении них контрольных действий с применением средств автоматизации деятельности;</w:t>
      </w:r>
    </w:p>
    <w:p w:rsidR="00EA226E" w:rsidRDefault="00EA226E">
      <w:pPr>
        <w:pStyle w:val="ConsPlusNormal"/>
        <w:spacing w:before="220"/>
        <w:ind w:firstLine="540"/>
        <w:jc w:val="both"/>
      </w:pPr>
      <w:r>
        <w:t xml:space="preserve">осуществление контрольно-аудиторским подразделением ТОФК последующего оперативного внутреннего автоматизированного контроля в соответствии со </w:t>
      </w:r>
      <w:hyperlink r:id="rId20" w:history="1">
        <w:r>
          <w:rPr>
            <w:color w:val="0000FF"/>
          </w:rPr>
          <w:t>Стандартом</w:t>
        </w:r>
      </w:hyperlink>
      <w:r>
        <w:t xml:space="preserve"> ПОВАК.</w:t>
      </w:r>
    </w:p>
    <w:p w:rsidR="00EA226E" w:rsidRDefault="00EA226E">
      <w:pPr>
        <w:pStyle w:val="ConsPlusNormal"/>
        <w:jc w:val="both"/>
      </w:pPr>
    </w:p>
    <w:p w:rsidR="00EA226E" w:rsidRDefault="00EA226E">
      <w:pPr>
        <w:pStyle w:val="ConsPlusTitle"/>
        <w:jc w:val="center"/>
        <w:outlineLvl w:val="1"/>
      </w:pPr>
      <w:r>
        <w:t>VI. Осуществление мониторинга внутренних рисков</w:t>
      </w:r>
    </w:p>
    <w:p w:rsidR="00EA226E" w:rsidRDefault="00EA226E">
      <w:pPr>
        <w:pStyle w:val="ConsPlusNormal"/>
        <w:jc w:val="both"/>
      </w:pPr>
    </w:p>
    <w:p w:rsidR="00EA226E" w:rsidRDefault="00EA226E">
      <w:pPr>
        <w:pStyle w:val="ConsPlusNormal"/>
        <w:ind w:firstLine="540"/>
        <w:jc w:val="both"/>
      </w:pPr>
      <w:r>
        <w:t>6.1. Мониторинг внутренних рисков осуществляется руководством органов Федерального казначейства, ФКУ "ЦОКР", контрольно-аудиторским подразделением Федерального казначейства, контрольно-аудиторскими подразделениями ТОФК, ФКУ "ЦОКР" и начальниками (иными уполномоченными лицами) иных структурных подразделений органов Федерального казначейства, ФКУ "ЦОКР".</w:t>
      </w:r>
    </w:p>
    <w:p w:rsidR="00EA226E" w:rsidRDefault="00EA226E">
      <w:pPr>
        <w:pStyle w:val="ConsPlusNormal"/>
        <w:spacing w:before="220"/>
        <w:ind w:firstLine="540"/>
        <w:jc w:val="both"/>
      </w:pPr>
      <w:proofErr w:type="gramStart"/>
      <w:r>
        <w:t>Мониторинг внутренних рисков осуществляется путем определения соответствия деятельности структурных подразделений органов Федерального казначейства, ФКУ "ЦОКР" требованиям законодательных и иных нормативных правовых актов Российской Федерации, нормативных правовых и правовых актов Министерства финансов Российской Федерации и Федерального казначейства, технологических регламентов, иных документов, регламентирующих деятельность органов Федерального казначейства, ФКУ "ЦОКР", оценки динамики количества и значимости реализовавшихся внутренних рисков, а также достаточности мер, предпринимаемых</w:t>
      </w:r>
      <w:proofErr w:type="gramEnd"/>
      <w:r>
        <w:t xml:space="preserve"> для их минимизации и предупреждения в дальнейшей деятельности.</w:t>
      </w:r>
    </w:p>
    <w:p w:rsidR="00EA226E" w:rsidRDefault="00EA226E">
      <w:pPr>
        <w:pStyle w:val="ConsPlusNormal"/>
        <w:spacing w:before="220"/>
        <w:ind w:firstLine="540"/>
        <w:jc w:val="both"/>
      </w:pPr>
      <w:r>
        <w:t>6.1.1. Руководитель Федерального казначейства осуществляет мониторинг внутренних рисков:</w:t>
      </w:r>
    </w:p>
    <w:p w:rsidR="00EA226E" w:rsidRDefault="00EA226E">
      <w:pPr>
        <w:pStyle w:val="ConsPlusNormal"/>
        <w:spacing w:before="220"/>
        <w:ind w:firstLine="540"/>
        <w:jc w:val="both"/>
      </w:pPr>
      <w:r>
        <w:t xml:space="preserve">при рассмотрении журналов учета выявленных нарушений за текущий год структурных подразделений ЦАФК, ответственных за результаты выполнения внутренней бюджетной процедуры, в отношении которых указанное должностное лицо осуществляет курирование и </w:t>
      </w:r>
      <w:proofErr w:type="gramStart"/>
      <w:r>
        <w:t>контроль за</w:t>
      </w:r>
      <w:proofErr w:type="gramEnd"/>
      <w:r>
        <w:t xml:space="preserve"> их деятельностью, формируемых в соответствии со </w:t>
      </w:r>
      <w:hyperlink r:id="rId21" w:history="1">
        <w:r>
          <w:rPr>
            <w:color w:val="0000FF"/>
          </w:rPr>
          <w:t>Стандартом</w:t>
        </w:r>
      </w:hyperlink>
      <w:r>
        <w:t xml:space="preserve"> внутреннего контроля;</w:t>
      </w:r>
    </w:p>
    <w:p w:rsidR="00EA226E" w:rsidRDefault="00EA226E">
      <w:pPr>
        <w:pStyle w:val="ConsPlusNormal"/>
        <w:spacing w:before="220"/>
        <w:ind w:firstLine="540"/>
        <w:jc w:val="both"/>
      </w:pPr>
      <w:r>
        <w:lastRenderedPageBreak/>
        <w:t xml:space="preserve">при рассмотрении отчетов о результатах проверок, протоколов заседаний Контрольного совета Федерального казначейства, аналитических записок по результатам осуществления внутреннего контроля и внутреннего аудита в Федеральном казначействе, составляемых в порядке, предусмотренном </w:t>
      </w:r>
      <w:hyperlink r:id="rId22" w:history="1">
        <w:r>
          <w:rPr>
            <w:color w:val="0000FF"/>
          </w:rPr>
          <w:t>Стандартами</w:t>
        </w:r>
      </w:hyperlink>
      <w:r>
        <w:t xml:space="preserve"> ВК и ВА.</w:t>
      </w:r>
    </w:p>
    <w:p w:rsidR="00EA226E" w:rsidRDefault="00EA226E">
      <w:pPr>
        <w:pStyle w:val="ConsPlusNormal"/>
        <w:spacing w:before="220"/>
        <w:ind w:firstLine="540"/>
        <w:jc w:val="both"/>
      </w:pPr>
      <w:r>
        <w:t xml:space="preserve">6.1.2. Заместители руководителя Федерального казначейства осуществляют мониторинг внутренних рисков при рассмотрении журналов учета выявленных нарушений за текущий год структурных подразделений ЦАФК, ответственных за результаты выполнения внутренней бюджетной процедуры, в отношении которых указанные должностные лица осуществляют курирование и </w:t>
      </w:r>
      <w:proofErr w:type="gramStart"/>
      <w:r>
        <w:t>контроль за</w:t>
      </w:r>
      <w:proofErr w:type="gramEnd"/>
      <w:r>
        <w:t xml:space="preserve"> их деятельностью, формируемых в соответствии со </w:t>
      </w:r>
      <w:hyperlink r:id="rId23" w:history="1">
        <w:r>
          <w:rPr>
            <w:color w:val="0000FF"/>
          </w:rPr>
          <w:t>Стандартом</w:t>
        </w:r>
      </w:hyperlink>
      <w:r>
        <w:t xml:space="preserve"> внутреннего контроля.</w:t>
      </w:r>
    </w:p>
    <w:p w:rsidR="00EA226E" w:rsidRDefault="00EA226E">
      <w:pPr>
        <w:pStyle w:val="ConsPlusNormal"/>
        <w:spacing w:before="220"/>
        <w:ind w:firstLine="540"/>
        <w:jc w:val="both"/>
      </w:pPr>
      <w:r>
        <w:t>6.1.3. Руководитель ТОФК осуществляет мониторинг внутренних рисков:</w:t>
      </w:r>
    </w:p>
    <w:p w:rsidR="00EA226E" w:rsidRDefault="00EA226E">
      <w:pPr>
        <w:pStyle w:val="ConsPlusNormal"/>
        <w:spacing w:before="220"/>
        <w:ind w:firstLine="540"/>
        <w:jc w:val="both"/>
      </w:pPr>
      <w:r>
        <w:t xml:space="preserve">при рассмотрении журналов учета выявленных нарушений за текущий год в отношении структурных подразделений ТОФК, в отношении которых указанное должностное лицо осуществляет курирование и </w:t>
      </w:r>
      <w:proofErr w:type="gramStart"/>
      <w:r>
        <w:t>контроль за</w:t>
      </w:r>
      <w:proofErr w:type="gramEnd"/>
      <w:r>
        <w:t xml:space="preserve"> их деятельностью, формируемых в соответствии со </w:t>
      </w:r>
      <w:hyperlink r:id="rId24" w:history="1">
        <w:r>
          <w:rPr>
            <w:color w:val="0000FF"/>
          </w:rPr>
          <w:t>Стандартом</w:t>
        </w:r>
      </w:hyperlink>
      <w:r>
        <w:t xml:space="preserve"> внутреннего контроля;</w:t>
      </w:r>
    </w:p>
    <w:p w:rsidR="00EA226E" w:rsidRDefault="00EA226E">
      <w:pPr>
        <w:pStyle w:val="ConsPlusNormal"/>
        <w:spacing w:before="220"/>
        <w:ind w:firstLine="540"/>
        <w:jc w:val="both"/>
      </w:pPr>
      <w:r>
        <w:t xml:space="preserve">при рассмотрении отчетов по результатам последующего оперативного внутреннего автоматизированного контроля, составляемых в порядке, установленном </w:t>
      </w:r>
      <w:hyperlink r:id="rId25" w:history="1">
        <w:r>
          <w:rPr>
            <w:color w:val="0000FF"/>
          </w:rPr>
          <w:t>Стандартом</w:t>
        </w:r>
      </w:hyperlink>
      <w:r>
        <w:t xml:space="preserve"> ПОВАК;</w:t>
      </w:r>
    </w:p>
    <w:p w:rsidR="00EA226E" w:rsidRDefault="00EA226E">
      <w:pPr>
        <w:pStyle w:val="ConsPlusNormal"/>
        <w:spacing w:before="220"/>
        <w:ind w:firstLine="540"/>
        <w:jc w:val="both"/>
      </w:pPr>
      <w:r>
        <w:t xml:space="preserve">при рассмотрении отчетов о результатах проверок, протоколов заседаний Контрольного совета ТОФК (в случае его создания), составляемых в порядке, предусмотренном </w:t>
      </w:r>
      <w:hyperlink r:id="rId26" w:history="1">
        <w:r>
          <w:rPr>
            <w:color w:val="0000FF"/>
          </w:rPr>
          <w:t>Стандартами</w:t>
        </w:r>
      </w:hyperlink>
      <w:r>
        <w:t xml:space="preserve"> ВК и ВА.</w:t>
      </w:r>
    </w:p>
    <w:p w:rsidR="00EA226E" w:rsidRDefault="00EA226E">
      <w:pPr>
        <w:pStyle w:val="ConsPlusNormal"/>
        <w:spacing w:before="220"/>
        <w:ind w:firstLine="540"/>
        <w:jc w:val="both"/>
      </w:pPr>
      <w:r>
        <w:t>6.1.4. Заместители руководителя ТОФК осуществляют мониторинг внутренних рисков:</w:t>
      </w:r>
    </w:p>
    <w:p w:rsidR="00EA226E" w:rsidRDefault="00EA226E">
      <w:pPr>
        <w:pStyle w:val="ConsPlusNormal"/>
        <w:spacing w:before="220"/>
        <w:ind w:firstLine="540"/>
        <w:jc w:val="both"/>
      </w:pPr>
      <w:r>
        <w:t xml:space="preserve">при рассмотрении журналов учета выявленных нарушений за текущий год структурных подразделений ТОФК, в отношении которых указанные должностные лица осуществляют курирование и </w:t>
      </w:r>
      <w:proofErr w:type="gramStart"/>
      <w:r>
        <w:t>контроль за</w:t>
      </w:r>
      <w:proofErr w:type="gramEnd"/>
      <w:r>
        <w:t xml:space="preserve"> их деятельностью, формируемых в соответствии со </w:t>
      </w:r>
      <w:hyperlink r:id="rId27" w:history="1">
        <w:r>
          <w:rPr>
            <w:color w:val="0000FF"/>
          </w:rPr>
          <w:t>Стандартом</w:t>
        </w:r>
      </w:hyperlink>
      <w:r>
        <w:t xml:space="preserve"> внутреннего контроля;</w:t>
      </w:r>
    </w:p>
    <w:p w:rsidR="00EA226E" w:rsidRDefault="00EA226E">
      <w:pPr>
        <w:pStyle w:val="ConsPlusNormal"/>
        <w:spacing w:before="220"/>
        <w:ind w:firstLine="540"/>
        <w:jc w:val="both"/>
      </w:pPr>
      <w:r>
        <w:t xml:space="preserve">при рассмотрении отчетов по результатам последующего оперативного внутреннего автоматизированного контроля, составляемых в порядке, установленном </w:t>
      </w:r>
      <w:hyperlink r:id="rId28" w:history="1">
        <w:r>
          <w:rPr>
            <w:color w:val="0000FF"/>
          </w:rPr>
          <w:t>Стандартом</w:t>
        </w:r>
      </w:hyperlink>
      <w:r>
        <w:t xml:space="preserve"> ПОВАК.</w:t>
      </w:r>
    </w:p>
    <w:p w:rsidR="00EA226E" w:rsidRDefault="00EA226E">
      <w:pPr>
        <w:pStyle w:val="ConsPlusNormal"/>
        <w:spacing w:before="220"/>
        <w:ind w:firstLine="540"/>
        <w:jc w:val="both"/>
      </w:pPr>
      <w:r>
        <w:t>6.1.5. Директор ФКУ "ЦОКР" осуществляет мониторинг внутренних рисков:</w:t>
      </w:r>
    </w:p>
    <w:p w:rsidR="00EA226E" w:rsidRDefault="00EA226E">
      <w:pPr>
        <w:pStyle w:val="ConsPlusNormal"/>
        <w:spacing w:before="220"/>
        <w:ind w:firstLine="540"/>
        <w:jc w:val="both"/>
      </w:pPr>
      <w:proofErr w:type="gramStart"/>
      <w:r>
        <w:t xml:space="preserve">при рассмотрении журналов учета выявленных нарушений за текущий год в отношении структурных подразделений ФКУ "ЦОКР", в отношении которых указанное должностное лицо осуществляет курирование и контроль за их деятельностью, формируемых в соответствии со </w:t>
      </w:r>
      <w:hyperlink r:id="rId29" w:history="1">
        <w:r>
          <w:rPr>
            <w:color w:val="0000FF"/>
          </w:rPr>
          <w:t>Стандартом</w:t>
        </w:r>
      </w:hyperlink>
      <w:r>
        <w:t xml:space="preserve"> внутреннего контроля;</w:t>
      </w:r>
      <w:proofErr w:type="gramEnd"/>
    </w:p>
    <w:p w:rsidR="00EA226E" w:rsidRDefault="00EA226E">
      <w:pPr>
        <w:pStyle w:val="ConsPlusNormal"/>
        <w:spacing w:before="220"/>
        <w:ind w:firstLine="540"/>
        <w:jc w:val="both"/>
      </w:pPr>
      <w:r>
        <w:t xml:space="preserve">при рассмотрении отчетов о результатах проверок, протоколов заседаний Контрольного совета ФКУ "ЦОКР" (в случае его создания), составляемых в порядке, предусмотренном </w:t>
      </w:r>
      <w:hyperlink r:id="rId30" w:history="1">
        <w:r>
          <w:rPr>
            <w:color w:val="0000FF"/>
          </w:rPr>
          <w:t>Стандартами</w:t>
        </w:r>
      </w:hyperlink>
      <w:r>
        <w:t xml:space="preserve"> ВК и ВА.</w:t>
      </w:r>
    </w:p>
    <w:p w:rsidR="00EA226E" w:rsidRDefault="00EA226E">
      <w:pPr>
        <w:pStyle w:val="ConsPlusNormal"/>
        <w:spacing w:before="220"/>
        <w:ind w:firstLine="540"/>
        <w:jc w:val="both"/>
      </w:pPr>
      <w:r>
        <w:t xml:space="preserve">6.1.6. Заместители директора ФКУ "ЦОКР" осуществляют мониторинг внутренних рисков при рассмотрении журналов учета выявленных нарушений за текущий год структурных подразделений ФКУ "ЦОКР", в отношении которых указанные должностные лица осуществляют курирование и </w:t>
      </w:r>
      <w:proofErr w:type="gramStart"/>
      <w:r>
        <w:t>контроль за</w:t>
      </w:r>
      <w:proofErr w:type="gramEnd"/>
      <w:r>
        <w:t xml:space="preserve"> их деятельностью, формируемых в соответствии со </w:t>
      </w:r>
      <w:hyperlink r:id="rId31" w:history="1">
        <w:r>
          <w:rPr>
            <w:color w:val="0000FF"/>
          </w:rPr>
          <w:t>Стандартом</w:t>
        </w:r>
      </w:hyperlink>
      <w:r>
        <w:t xml:space="preserve"> внутреннего контроля.</w:t>
      </w:r>
    </w:p>
    <w:p w:rsidR="00EA226E" w:rsidRDefault="00EA226E">
      <w:pPr>
        <w:pStyle w:val="ConsPlusNormal"/>
        <w:spacing w:before="220"/>
        <w:ind w:firstLine="540"/>
        <w:jc w:val="both"/>
      </w:pPr>
      <w:r>
        <w:t xml:space="preserve">6.1.7. </w:t>
      </w:r>
      <w:proofErr w:type="gramStart"/>
      <w:r>
        <w:t xml:space="preserve">Контрольно-аудиторское подразделение Федерального казначейства осуществляет мониторинг внутренних рисков при подготовке аналитической справки для руководителя Федерального казначейства с указанием основных (системных) нарушений (недостатков), выявленных в ходе внутреннего контроля, их причинах и мерах, принятых для их устранения, а также с рекомендациями по недопущению в дальнейшей деятельности нарушений (недостатков), выявленных в ходе осуществления внутреннего контроля в соответствии со </w:t>
      </w:r>
      <w:hyperlink r:id="rId32" w:history="1">
        <w:r>
          <w:rPr>
            <w:color w:val="0000FF"/>
          </w:rPr>
          <w:t>Стандартом</w:t>
        </w:r>
      </w:hyperlink>
      <w:r>
        <w:t xml:space="preserve"> внутреннего контроля.</w:t>
      </w:r>
      <w:proofErr w:type="gramEnd"/>
    </w:p>
    <w:p w:rsidR="00EA226E" w:rsidRDefault="00EA226E">
      <w:pPr>
        <w:pStyle w:val="ConsPlusNormal"/>
        <w:spacing w:before="220"/>
        <w:ind w:firstLine="540"/>
        <w:jc w:val="both"/>
      </w:pPr>
      <w:r>
        <w:t>6.1.8. Контрольно-аудиторские подразделения ТОФК, ФКУ "ЦОКР" осуществляют мониторинг внутренних рисков:</w:t>
      </w:r>
    </w:p>
    <w:p w:rsidR="00EA226E" w:rsidRDefault="00EA226E">
      <w:pPr>
        <w:pStyle w:val="ConsPlusNormal"/>
        <w:spacing w:before="220"/>
        <w:ind w:firstLine="540"/>
        <w:jc w:val="both"/>
      </w:pPr>
      <w:proofErr w:type="gramStart"/>
      <w:r>
        <w:lastRenderedPageBreak/>
        <w:t xml:space="preserve">при подготовке аналитической справки для руководителя ТОФК (директора ФКУ "ЦОКР") с указанием основных (системных) нарушений (недостатков), выявленных в ходе внутреннего контроля, их причинах и мерах, принятых для их устранения, а также с рекомендациями по недопущению в дальнейшей деятельности нарушений (недостатков), выявленных в ходе осуществления внутреннего контроля в соответствии со </w:t>
      </w:r>
      <w:hyperlink r:id="rId33" w:history="1">
        <w:r>
          <w:rPr>
            <w:color w:val="0000FF"/>
          </w:rPr>
          <w:t>Стандартом</w:t>
        </w:r>
      </w:hyperlink>
      <w:r>
        <w:t xml:space="preserve"> внутреннего контроля;</w:t>
      </w:r>
      <w:proofErr w:type="gramEnd"/>
    </w:p>
    <w:p w:rsidR="00EA226E" w:rsidRDefault="00EA226E">
      <w:pPr>
        <w:pStyle w:val="ConsPlusNormal"/>
        <w:spacing w:before="220"/>
        <w:ind w:firstLine="540"/>
        <w:jc w:val="both"/>
      </w:pPr>
      <w:r>
        <w:t>при рассмотрении по поручению Федерального казначейства перечней основных нарушений, выявленных в ходе проверок деятельности ТОФК, и обеспечении их учета при планировании контрольных и аудиторских мероприятий (применимо для контрольно-аудиторских подразделений ТОФК).</w:t>
      </w:r>
    </w:p>
    <w:p w:rsidR="00EA226E" w:rsidRDefault="00EA226E">
      <w:pPr>
        <w:pStyle w:val="ConsPlusNormal"/>
        <w:spacing w:before="220"/>
        <w:ind w:firstLine="540"/>
        <w:jc w:val="both"/>
      </w:pPr>
      <w:r>
        <w:t>6.1.9. Начальники (иные уполномоченные лица) структурных подразделений органов Федерального казначейства, ФКУ "ЦОКР" осуществляют мониторинг внутренних рисков:</w:t>
      </w:r>
    </w:p>
    <w:p w:rsidR="00EA226E" w:rsidRDefault="00EA226E">
      <w:pPr>
        <w:pStyle w:val="ConsPlusNormal"/>
        <w:spacing w:before="220"/>
        <w:ind w:firstLine="540"/>
        <w:jc w:val="both"/>
      </w:pPr>
      <w:r>
        <w:t>при осуществлении внутреннего контроля в отношении Операций, выполняемых соответствующим структурным подразделением органа Федерального казначейства, ФКУ "ЦОКР" в рамках установленных функций и полномочий, и рассмотрении его результатов;</w:t>
      </w:r>
    </w:p>
    <w:p w:rsidR="00EA226E" w:rsidRDefault="00EA226E">
      <w:pPr>
        <w:pStyle w:val="ConsPlusNormal"/>
        <w:spacing w:before="220"/>
        <w:ind w:firstLine="540"/>
        <w:jc w:val="both"/>
      </w:pPr>
      <w:r>
        <w:t xml:space="preserve">при рассмотрении отчетов по результатам последующего оперативного внутреннего автоматизированного контроля, формируемых в порядке, установленном </w:t>
      </w:r>
      <w:hyperlink r:id="rId34" w:history="1">
        <w:r>
          <w:rPr>
            <w:color w:val="0000FF"/>
          </w:rPr>
          <w:t>Стандартом</w:t>
        </w:r>
      </w:hyperlink>
      <w:r>
        <w:t xml:space="preserve"> ПОВАК;</w:t>
      </w:r>
    </w:p>
    <w:p w:rsidR="00EA226E" w:rsidRDefault="00EA226E">
      <w:pPr>
        <w:pStyle w:val="ConsPlusNormal"/>
        <w:spacing w:before="220"/>
        <w:ind w:firstLine="540"/>
        <w:jc w:val="both"/>
      </w:pPr>
      <w:r>
        <w:t>при рассмотрении по поручению Федерального казначейства перечней основных нарушений, выявленных в ходе проверок деятельности ТОФК (применимо для структурных подразделений ТОФК).</w:t>
      </w:r>
    </w:p>
    <w:p w:rsidR="00EA226E" w:rsidRDefault="00EA226E">
      <w:pPr>
        <w:pStyle w:val="ConsPlusNormal"/>
        <w:spacing w:before="220"/>
        <w:ind w:firstLine="540"/>
        <w:jc w:val="both"/>
      </w:pPr>
      <w:r>
        <w:t>6.2. По результатам мониторинга внутренних рисков структурными подразделениями органов Федерального казначейства, ФКУ "ЦОКР" осуществляется:</w:t>
      </w:r>
    </w:p>
    <w:p w:rsidR="00EA226E" w:rsidRDefault="00EA226E">
      <w:pPr>
        <w:pStyle w:val="ConsPlusNormal"/>
        <w:spacing w:before="220"/>
        <w:ind w:firstLine="540"/>
        <w:jc w:val="both"/>
      </w:pPr>
      <w:r>
        <w:t>подготовка предложений по актуализации классификаторов внутренних рисков ТОФК, формируемых контрольно-аудиторским подразделением Федерального казначейства;</w:t>
      </w:r>
    </w:p>
    <w:p w:rsidR="00EA226E" w:rsidRDefault="00EA226E">
      <w:pPr>
        <w:pStyle w:val="ConsPlusNormal"/>
        <w:spacing w:before="220"/>
        <w:ind w:firstLine="540"/>
        <w:jc w:val="both"/>
      </w:pPr>
      <w:r>
        <w:t xml:space="preserve">актуализация карт внутреннего контроля на очередной год в соответствии со </w:t>
      </w:r>
      <w:hyperlink r:id="rId35" w:history="1">
        <w:r>
          <w:rPr>
            <w:color w:val="0000FF"/>
          </w:rPr>
          <w:t>Стандартом</w:t>
        </w:r>
      </w:hyperlink>
      <w:r>
        <w:t xml:space="preserve"> внутреннего контроля;</w:t>
      </w:r>
    </w:p>
    <w:p w:rsidR="00EA226E" w:rsidRDefault="00EA226E">
      <w:pPr>
        <w:pStyle w:val="ConsPlusNormal"/>
        <w:spacing w:before="220"/>
        <w:ind w:firstLine="540"/>
        <w:jc w:val="both"/>
      </w:pPr>
      <w:r>
        <w:t>планирование контрольной и аудиторской деятельности в органах Федерального казначейства, ФКУ "ЦОКР",</w:t>
      </w:r>
    </w:p>
    <w:p w:rsidR="00EA226E" w:rsidRDefault="00EA226E">
      <w:pPr>
        <w:pStyle w:val="ConsPlusNormal"/>
        <w:spacing w:before="220"/>
        <w:ind w:firstLine="540"/>
        <w:jc w:val="both"/>
      </w:pPr>
      <w:r>
        <w:t>а также иные действия, предусмотренные приказами органов Федерального казначейства, ФКУ "ЦОКР", направленные на совершенствование деятельности органов Федерального казначейства, ФКУ "ЦОКР" и минимизацию внутренних рисков.</w:t>
      </w:r>
    </w:p>
    <w:p w:rsidR="00EA226E" w:rsidRDefault="00EA226E">
      <w:pPr>
        <w:pStyle w:val="ConsPlusNormal"/>
        <w:spacing w:before="220"/>
        <w:ind w:firstLine="540"/>
        <w:jc w:val="both"/>
      </w:pPr>
      <w:r>
        <w:t xml:space="preserve">6.3. </w:t>
      </w:r>
      <w:proofErr w:type="gramStart"/>
      <w:r>
        <w:t>Структурные подразделения органов Федерального казначейства, ФКУ "ЦОКР" при регламентации процессов и операций по направлениям деятельности органов Федерального казначейства, ФКУ "ЦОКР" должны принимать все необходимые меры для предупреждения и минимизации внутренних рисков, возникающих при выполнении функций и осуществлении полномочий, в том числе с учетом результатов мониторинга внутренних рисков в соответствии с положениями настоящего раздела Стандарта.</w:t>
      </w:r>
      <w:proofErr w:type="gramEnd"/>
    </w:p>
    <w:p w:rsidR="00EA226E" w:rsidRDefault="00EA226E">
      <w:pPr>
        <w:pStyle w:val="ConsPlusNormal"/>
        <w:jc w:val="both"/>
      </w:pPr>
    </w:p>
    <w:p w:rsidR="00EA226E" w:rsidRDefault="00EA226E">
      <w:pPr>
        <w:pStyle w:val="ConsPlusTitle"/>
        <w:jc w:val="center"/>
        <w:outlineLvl w:val="1"/>
      </w:pPr>
      <w:r>
        <w:t>VII. Оценка и контроль эффективности функционирования</w:t>
      </w:r>
    </w:p>
    <w:p w:rsidR="00EA226E" w:rsidRDefault="00EA226E">
      <w:pPr>
        <w:pStyle w:val="ConsPlusTitle"/>
        <w:jc w:val="center"/>
      </w:pPr>
      <w:r>
        <w:t>системы управления внутренними рисками</w:t>
      </w:r>
    </w:p>
    <w:p w:rsidR="00EA226E" w:rsidRDefault="00EA226E">
      <w:pPr>
        <w:pStyle w:val="ConsPlusNormal"/>
        <w:jc w:val="both"/>
      </w:pPr>
    </w:p>
    <w:p w:rsidR="00EA226E" w:rsidRDefault="00EA226E">
      <w:pPr>
        <w:pStyle w:val="ConsPlusNormal"/>
        <w:ind w:firstLine="540"/>
        <w:jc w:val="both"/>
      </w:pPr>
      <w:r>
        <w:t xml:space="preserve">7.1. Оценка и контроль эффективности функционирования системы управления внутренними рисками осуществляются контрольно-аудиторским подразделением Федерального казначейства и контрольно-аудиторскими подразделениями ТОФК, ФКУ "ЦОКР" путем проведения контрольных и аудиторских мероприятий в соответствии со </w:t>
      </w:r>
      <w:hyperlink r:id="rId36" w:history="1">
        <w:r>
          <w:rPr>
            <w:color w:val="0000FF"/>
          </w:rPr>
          <w:t>Стандартами</w:t>
        </w:r>
      </w:hyperlink>
      <w:r>
        <w:t xml:space="preserve"> ВК и ВА.</w:t>
      </w:r>
    </w:p>
    <w:p w:rsidR="00EA226E" w:rsidRDefault="00EA226E">
      <w:pPr>
        <w:pStyle w:val="ConsPlusNormal"/>
        <w:spacing w:before="220"/>
        <w:ind w:firstLine="540"/>
        <w:jc w:val="both"/>
      </w:pPr>
      <w:r>
        <w:t xml:space="preserve">7.2. Функционирование системы управления внутренними рисками признается </w:t>
      </w:r>
      <w:proofErr w:type="gramStart"/>
      <w:r>
        <w:t>эффективным</w:t>
      </w:r>
      <w:proofErr w:type="gramEnd"/>
      <w:r>
        <w:t xml:space="preserve"> в случае если управление внутренними рисками в структурном подразделении органа Федерального </w:t>
      </w:r>
      <w:r>
        <w:lastRenderedPageBreak/>
        <w:t xml:space="preserve">казначейства, ФКУ "ЦОКР" приводит к отсутствию либо существенному снижению по результатам проведения проверок деятельности соответствующего структурного подразделения органа Федерального казначейства, ФКУ "ЦОКР" числа нарушений положений законодательных и иных нормативных правовых актов Российской Федерации, нормативных правовых и правовых актов Министерства финансов Российской Федерации </w:t>
      </w:r>
      <w:proofErr w:type="gramStart"/>
      <w:r>
        <w:t>и Федерального казначейства, технологических регламентов, иных документов, применяемых структурными подразделениями органов Федерального казначейства, ФКУ "ЦОКР" при выполнении функций и осуществлении полномочий в установленной сфере деятельности, либо количество указанных нарушений, установленных по результатам проверок деятельности соответствующего структурного подразделения органа Федерального казначейства, ФКУ "ЦОКР", составило незначительную долю к общему количеству Операций, являющихся предметом внутреннего контроля, внутреннего аудита.</w:t>
      </w:r>
      <w:proofErr w:type="gramEnd"/>
    </w:p>
    <w:p w:rsidR="00EA226E" w:rsidRDefault="00EA226E">
      <w:pPr>
        <w:pStyle w:val="ConsPlusNormal"/>
        <w:spacing w:before="220"/>
        <w:ind w:firstLine="540"/>
        <w:jc w:val="both"/>
      </w:pPr>
      <w:r>
        <w:t xml:space="preserve">7.3. Выводы об эффективности функционирования системы управления внутренними рисками включаются контрольно-аудиторским подразделением Федерального казначейства, контрольно-аудиторскими подразделениями ТОФК, ФКУ "ЦОКР", назначившим проверку, в отчет о результатах проверки, составленный в соответствии со </w:t>
      </w:r>
      <w:hyperlink r:id="rId37" w:history="1">
        <w:r>
          <w:rPr>
            <w:color w:val="0000FF"/>
          </w:rPr>
          <w:t>Стандартами</w:t>
        </w:r>
      </w:hyperlink>
      <w:r>
        <w:t xml:space="preserve"> ВК и ВА.</w:t>
      </w:r>
    </w:p>
    <w:p w:rsidR="00EA226E" w:rsidRDefault="00EA226E">
      <w:pPr>
        <w:pStyle w:val="ConsPlusNormal"/>
        <w:spacing w:before="220"/>
        <w:ind w:firstLine="540"/>
        <w:jc w:val="both"/>
      </w:pPr>
      <w:proofErr w:type="gramStart"/>
      <w:r>
        <w:t>В случае если функционирование системы управления внутренними рисками по результатам проверки признано неэффективным, в указанный отчет также подлежат включению предложения (рекомендации) по принятию мер, направленных на устранение и (или) минимизацию внутренних рисков, в том числе бюджетных, а также по внесению изменений в карты внутреннего контроля объекта проверки (в случае если правовыми актами Федерального казначейства предусмотрено их оформление объектом проверки).</w:t>
      </w:r>
      <w:proofErr w:type="gramEnd"/>
    </w:p>
    <w:p w:rsidR="00EA226E" w:rsidRDefault="00EA226E">
      <w:pPr>
        <w:pStyle w:val="ConsPlusNormal"/>
        <w:jc w:val="both"/>
      </w:pPr>
    </w:p>
    <w:p w:rsidR="00EA226E" w:rsidRDefault="00EA226E">
      <w:pPr>
        <w:pStyle w:val="ConsPlusTitle"/>
        <w:jc w:val="center"/>
        <w:outlineLvl w:val="1"/>
      </w:pPr>
      <w:r>
        <w:t>VIII. Формирование отчетности в рамках управления</w:t>
      </w:r>
    </w:p>
    <w:p w:rsidR="00EA226E" w:rsidRDefault="00EA226E">
      <w:pPr>
        <w:pStyle w:val="ConsPlusTitle"/>
        <w:jc w:val="center"/>
      </w:pPr>
      <w:r>
        <w:t>внутренними рисками в органах Федерального казначейства,</w:t>
      </w:r>
    </w:p>
    <w:p w:rsidR="00EA226E" w:rsidRDefault="00EA226E">
      <w:pPr>
        <w:pStyle w:val="ConsPlusTitle"/>
        <w:jc w:val="center"/>
      </w:pPr>
      <w:r>
        <w:t>ФКУ "ЦОКР"</w:t>
      </w:r>
    </w:p>
    <w:p w:rsidR="00EA226E" w:rsidRDefault="00EA226E">
      <w:pPr>
        <w:pStyle w:val="ConsPlusNormal"/>
        <w:jc w:val="both"/>
      </w:pPr>
    </w:p>
    <w:p w:rsidR="00EA226E" w:rsidRDefault="00EA226E">
      <w:pPr>
        <w:pStyle w:val="ConsPlusNormal"/>
        <w:ind w:firstLine="540"/>
        <w:jc w:val="both"/>
      </w:pPr>
      <w:r>
        <w:t>8.1. Структурные подразделения ЦАФК, ответственные за результаты выполнения внутренней бюджетной процедуры, структурные подразделения ТОФК, ФКУ "ЦОКР" в течение отчетного периода (период с 1 января по 30 июня и период с 1 июля по 31 декабря очередного года) осуществляют учет фактов реализовавшихся внутренних рисков.</w:t>
      </w:r>
    </w:p>
    <w:p w:rsidR="00EA226E" w:rsidRDefault="00EA226E">
      <w:pPr>
        <w:pStyle w:val="ConsPlusNormal"/>
        <w:spacing w:before="220"/>
        <w:ind w:firstLine="540"/>
        <w:jc w:val="both"/>
      </w:pPr>
      <w:r>
        <w:t xml:space="preserve">Структурные подразделения ТОФК, ФКУ "ЦОКР" один раз в полугодие не позднее 5 рабочего дня месяца, следующего за отчетным периодом, представляют в контрольно-аудиторское подразделение ТОФК, ФКУ "ЦОКР" Отчеты о результатах управления внутренними рисками (далее - Отчет) за отчетное полугодие по форме согласно </w:t>
      </w:r>
      <w:hyperlink w:anchor="P505" w:history="1">
        <w:r>
          <w:rPr>
            <w:color w:val="0000FF"/>
          </w:rPr>
          <w:t>приложению N 3</w:t>
        </w:r>
      </w:hyperlink>
      <w:r>
        <w:t xml:space="preserve"> к настоящему Стандарту. Контрольно-аудиторское подразделение ТОФК, ФКУ "ЦОКР" обеспечивает свод и анализ представленной в Отчетах информации.</w:t>
      </w:r>
    </w:p>
    <w:p w:rsidR="00EA226E" w:rsidRDefault="00EA226E">
      <w:pPr>
        <w:pStyle w:val="ConsPlusNormal"/>
        <w:spacing w:before="220"/>
        <w:ind w:firstLine="540"/>
        <w:jc w:val="both"/>
      </w:pPr>
      <w:r>
        <w:t>Структурные подразделения ЦАФК, ответственные за результаты выполнения внутренней бюджетной процедуры, контрольно-аудиторские подразделения ТОФК, ФКУ "ЦОКР" не позднее 10 рабочего дня месяца, следующего за отчетным периодом, представляют в контрольно-аудиторское подразделение Федерального казначейства Отчеты посредством прикладного программного обеспечения "Автоматизированная система документооборота "</w:t>
      </w:r>
      <w:proofErr w:type="spellStart"/>
      <w:r>
        <w:t>ЛанДокс</w:t>
      </w:r>
      <w:proofErr w:type="spellEnd"/>
      <w:r>
        <w:t>".</w:t>
      </w:r>
    </w:p>
    <w:p w:rsidR="00EA226E" w:rsidRDefault="00EA226E">
      <w:pPr>
        <w:pStyle w:val="ConsPlusNormal"/>
        <w:spacing w:before="220"/>
        <w:ind w:firstLine="540"/>
        <w:jc w:val="both"/>
      </w:pPr>
      <w:r>
        <w:t>В Отчет включается информация только о реализовавшихся внутренних рисках. Отчет представляется в контрольно-аудиторское подразделение органа Федерального казначейства, ФКУ "ЦОКР" вне зависимости от наличия (отсутствия) фактов реализовавшихся внутренних рисков.</w:t>
      </w:r>
    </w:p>
    <w:p w:rsidR="00EA226E" w:rsidRDefault="00EA226E">
      <w:pPr>
        <w:pStyle w:val="ConsPlusNormal"/>
        <w:spacing w:before="220"/>
        <w:ind w:firstLine="540"/>
        <w:jc w:val="both"/>
      </w:pPr>
      <w:r>
        <w:t>Отчет формируется нарастающим итогом с начала года.</w:t>
      </w:r>
    </w:p>
    <w:p w:rsidR="00EA226E" w:rsidRDefault="00EA226E">
      <w:pPr>
        <w:pStyle w:val="ConsPlusNormal"/>
        <w:spacing w:before="220"/>
        <w:ind w:firstLine="540"/>
        <w:jc w:val="both"/>
      </w:pPr>
      <w:r>
        <w:t xml:space="preserve">8.2. </w:t>
      </w:r>
      <w:proofErr w:type="gramStart"/>
      <w:r>
        <w:t xml:space="preserve">По результатам анализа Отчетов, представленных структурными подразделениями ЦАФК, ответственными за результаты выполнения внутренней бюджетной процедуры, структурными подразделениями ТОФК, ФКУ "ЦОКР", контрольно-аудиторское подразделение Федерального казначейства осуществляет подготовку аналитической справки для руководителя Федерального казначейства с указанием основных реализовавшихся в деятельности органов Федерального казначейства, </w:t>
      </w:r>
      <w:r>
        <w:lastRenderedPageBreak/>
        <w:t>ФКУ "ЦОКР" внутренних рисков и мерах, принятых для устранения или минимизации неблагоприятных последствий реализовавшихся рисков, а также с рекомендациями</w:t>
      </w:r>
      <w:proofErr w:type="gramEnd"/>
      <w:r>
        <w:t xml:space="preserve">, </w:t>
      </w:r>
      <w:proofErr w:type="gramStart"/>
      <w:r>
        <w:t>направленными</w:t>
      </w:r>
      <w:proofErr w:type="gramEnd"/>
      <w:r>
        <w:t xml:space="preserve"> на предотвращение реализации таких рисков в дальнейшей деятельности.</w:t>
      </w:r>
    </w:p>
    <w:p w:rsidR="00EA226E" w:rsidRDefault="00EA226E">
      <w:pPr>
        <w:pStyle w:val="ConsPlusNormal"/>
        <w:jc w:val="both"/>
      </w:pPr>
    </w:p>
    <w:p w:rsidR="00EA226E" w:rsidRDefault="00EA226E">
      <w:pPr>
        <w:pStyle w:val="ConsPlusNormal"/>
        <w:jc w:val="both"/>
      </w:pPr>
    </w:p>
    <w:p w:rsidR="00EA226E" w:rsidRDefault="00EA226E">
      <w:pPr>
        <w:pStyle w:val="ConsPlusNormal"/>
        <w:jc w:val="both"/>
      </w:pPr>
    </w:p>
    <w:p w:rsidR="00EA226E" w:rsidRDefault="00EA226E">
      <w:pPr>
        <w:pStyle w:val="ConsPlusNormal"/>
        <w:jc w:val="both"/>
      </w:pPr>
    </w:p>
    <w:p w:rsidR="00EA226E" w:rsidRDefault="00EA226E">
      <w:pPr>
        <w:pStyle w:val="ConsPlusNormal"/>
        <w:jc w:val="both"/>
      </w:pPr>
    </w:p>
    <w:p w:rsidR="00EA226E" w:rsidRDefault="00EA226E">
      <w:pPr>
        <w:pStyle w:val="ConsPlusNormal"/>
        <w:jc w:val="right"/>
        <w:outlineLvl w:val="1"/>
      </w:pPr>
      <w:r>
        <w:t>Приложение N 1</w:t>
      </w:r>
    </w:p>
    <w:p w:rsidR="00EA226E" w:rsidRDefault="00EA226E">
      <w:pPr>
        <w:pStyle w:val="ConsPlusNormal"/>
        <w:jc w:val="right"/>
      </w:pPr>
      <w:r>
        <w:t xml:space="preserve">к Стандарту управления </w:t>
      </w:r>
      <w:proofErr w:type="gramStart"/>
      <w:r>
        <w:t>внутренними</w:t>
      </w:r>
      <w:proofErr w:type="gramEnd"/>
    </w:p>
    <w:p w:rsidR="00EA226E" w:rsidRDefault="00EA226E">
      <w:pPr>
        <w:pStyle w:val="ConsPlusNormal"/>
        <w:jc w:val="right"/>
      </w:pPr>
      <w:r>
        <w:t>(операционными) казначейскими рисками</w:t>
      </w:r>
    </w:p>
    <w:p w:rsidR="00EA226E" w:rsidRDefault="00EA226E">
      <w:pPr>
        <w:pStyle w:val="ConsPlusNormal"/>
        <w:jc w:val="right"/>
      </w:pPr>
      <w:r>
        <w:t>в Федеральном казначействе</w:t>
      </w:r>
    </w:p>
    <w:p w:rsidR="00EA226E" w:rsidRDefault="00EA226E">
      <w:pPr>
        <w:pStyle w:val="ConsPlusNormal"/>
        <w:jc w:val="both"/>
      </w:pPr>
    </w:p>
    <w:p w:rsidR="00EA226E" w:rsidRDefault="00EA226E">
      <w:pPr>
        <w:pStyle w:val="ConsPlusNormal"/>
        <w:jc w:val="center"/>
      </w:pPr>
      <w:bookmarkStart w:id="8" w:name="P274"/>
      <w:bookmarkEnd w:id="8"/>
      <w:r>
        <w:t>ФОРМА КЛАССИФИКАТОРА</w:t>
      </w:r>
    </w:p>
    <w:p w:rsidR="00EA226E" w:rsidRDefault="00EA226E">
      <w:pPr>
        <w:pStyle w:val="ConsPlusNormal"/>
        <w:jc w:val="center"/>
      </w:pPr>
      <w:r>
        <w:t>ВНУТРЕННИХ (ОПЕРАЦИОННЫХ) КАЗНАЧЕЙСКИХ РИСКОВ</w:t>
      </w:r>
    </w:p>
    <w:p w:rsidR="00EA226E" w:rsidRDefault="00EA226E">
      <w:pPr>
        <w:pStyle w:val="ConsPlusNormal"/>
        <w:jc w:val="center"/>
      </w:pPr>
      <w:r>
        <w:t>ПО НАПРАВЛЕНИЯМ ДЕЯТЕЛЬНОСТИ ТЕРРИТОРИАЛЬНОГО ОРГАНА</w:t>
      </w:r>
    </w:p>
    <w:p w:rsidR="00EA226E" w:rsidRDefault="00EA226E">
      <w:pPr>
        <w:pStyle w:val="ConsPlusNormal"/>
        <w:jc w:val="center"/>
      </w:pPr>
      <w:r>
        <w:t>ФЕДЕРАЛЬНОГО КАЗНАЧЕЙСТВА</w:t>
      </w:r>
    </w:p>
    <w:p w:rsidR="00EA226E" w:rsidRDefault="00EA226E">
      <w:pPr>
        <w:pStyle w:val="ConsPlusNormal"/>
        <w:jc w:val="both"/>
      </w:pPr>
    </w:p>
    <w:p w:rsidR="00EA226E" w:rsidRDefault="00EA226E">
      <w:pPr>
        <w:pStyle w:val="ConsPlusNormal"/>
        <w:jc w:val="center"/>
      </w:pPr>
      <w:bookmarkStart w:id="9" w:name="P279"/>
      <w:bookmarkEnd w:id="9"/>
      <w:r>
        <w:t>Классификатор</w:t>
      </w:r>
    </w:p>
    <w:p w:rsidR="00EA226E" w:rsidRDefault="00EA226E">
      <w:pPr>
        <w:pStyle w:val="ConsPlusNormal"/>
        <w:jc w:val="center"/>
      </w:pPr>
      <w:r>
        <w:t>внутренних (операционных) казначейских рисков</w:t>
      </w:r>
    </w:p>
    <w:p w:rsidR="00EA226E" w:rsidRDefault="00EA226E">
      <w:pPr>
        <w:pStyle w:val="ConsPlusNormal"/>
        <w:jc w:val="center"/>
      </w:pPr>
      <w:r>
        <w:t>по направлениям деятельности</w:t>
      </w:r>
    </w:p>
    <w:p w:rsidR="00EA226E" w:rsidRDefault="00EA226E">
      <w:pPr>
        <w:pStyle w:val="ConsPlusNormal"/>
        <w:jc w:val="center"/>
      </w:pPr>
      <w:r>
        <w:t>___________________________________________________________</w:t>
      </w:r>
    </w:p>
    <w:p w:rsidR="00EA226E" w:rsidRDefault="00EA226E">
      <w:pPr>
        <w:pStyle w:val="ConsPlusNormal"/>
        <w:jc w:val="center"/>
      </w:pPr>
      <w:proofErr w:type="gramStart"/>
      <w:r>
        <w:t>(Межрегионального операционного управления федерального</w:t>
      </w:r>
      <w:proofErr w:type="gramEnd"/>
    </w:p>
    <w:p w:rsidR="00EA226E" w:rsidRDefault="00EA226E">
      <w:pPr>
        <w:pStyle w:val="ConsPlusNormal"/>
        <w:jc w:val="center"/>
      </w:pPr>
      <w:r>
        <w:t>казначейства, управления Федерального казначейства</w:t>
      </w:r>
    </w:p>
    <w:p w:rsidR="00EA226E" w:rsidRDefault="00EA226E">
      <w:pPr>
        <w:pStyle w:val="ConsPlusNormal"/>
        <w:jc w:val="center"/>
      </w:pPr>
      <w:proofErr w:type="gramStart"/>
      <w:r>
        <w:t>по субъекту Российской Федерации (субъектам</w:t>
      </w:r>
      <w:proofErr w:type="gramEnd"/>
    </w:p>
    <w:p w:rsidR="00EA226E" w:rsidRDefault="00EA226E">
      <w:pPr>
        <w:pStyle w:val="ConsPlusNormal"/>
        <w:jc w:val="center"/>
      </w:pPr>
      <w:r>
        <w:t xml:space="preserve">Российской Федерации, </w:t>
      </w:r>
      <w:proofErr w:type="gramStart"/>
      <w:r>
        <w:t>находящимся</w:t>
      </w:r>
      <w:proofErr w:type="gramEnd"/>
      <w:r>
        <w:t xml:space="preserve"> в границах</w:t>
      </w:r>
    </w:p>
    <w:p w:rsidR="00EA226E" w:rsidRDefault="00EA226E">
      <w:pPr>
        <w:pStyle w:val="ConsPlusNormal"/>
        <w:jc w:val="center"/>
      </w:pPr>
      <w:r>
        <w:t>федерального округа)</w:t>
      </w:r>
    </w:p>
    <w:p w:rsidR="00EA226E" w:rsidRDefault="00EA226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454"/>
        <w:gridCol w:w="360"/>
        <w:gridCol w:w="360"/>
        <w:gridCol w:w="360"/>
        <w:gridCol w:w="1757"/>
        <w:gridCol w:w="1928"/>
        <w:gridCol w:w="2154"/>
        <w:gridCol w:w="1644"/>
      </w:tblGrid>
      <w:tr w:rsidR="00EA226E">
        <w:tc>
          <w:tcPr>
            <w:tcW w:w="454" w:type="dxa"/>
          </w:tcPr>
          <w:p w:rsidR="00EA226E" w:rsidRDefault="00EA226E">
            <w:pPr>
              <w:pStyle w:val="ConsPlusNormal"/>
              <w:jc w:val="center"/>
            </w:pPr>
            <w:r>
              <w:t xml:space="preserve">N </w:t>
            </w:r>
            <w:proofErr w:type="spellStart"/>
            <w:proofErr w:type="gramStart"/>
            <w:r>
              <w:t>п</w:t>
            </w:r>
            <w:proofErr w:type="spellEnd"/>
            <w:proofErr w:type="gramEnd"/>
            <w:r>
              <w:t>/</w:t>
            </w:r>
            <w:proofErr w:type="spellStart"/>
            <w:r>
              <w:t>п</w:t>
            </w:r>
            <w:proofErr w:type="spellEnd"/>
          </w:p>
        </w:tc>
        <w:tc>
          <w:tcPr>
            <w:tcW w:w="1080" w:type="dxa"/>
            <w:gridSpan w:val="3"/>
          </w:tcPr>
          <w:p w:rsidR="00EA226E" w:rsidRDefault="00EA226E">
            <w:pPr>
              <w:pStyle w:val="ConsPlusNormal"/>
              <w:jc w:val="center"/>
            </w:pPr>
            <w:r>
              <w:t>Код риска</w:t>
            </w:r>
          </w:p>
        </w:tc>
        <w:tc>
          <w:tcPr>
            <w:tcW w:w="1757" w:type="dxa"/>
          </w:tcPr>
          <w:p w:rsidR="00EA226E" w:rsidRDefault="00EA226E">
            <w:pPr>
              <w:pStyle w:val="ConsPlusNormal"/>
              <w:jc w:val="center"/>
            </w:pPr>
            <w:r>
              <w:t>Наименование риска</w:t>
            </w:r>
          </w:p>
        </w:tc>
        <w:tc>
          <w:tcPr>
            <w:tcW w:w="1928" w:type="dxa"/>
          </w:tcPr>
          <w:p w:rsidR="00EA226E" w:rsidRDefault="00EA226E">
            <w:pPr>
              <w:pStyle w:val="ConsPlusNormal"/>
              <w:jc w:val="center"/>
            </w:pPr>
            <w:r>
              <w:t>Значимость риска (единиц)</w:t>
            </w:r>
          </w:p>
        </w:tc>
        <w:tc>
          <w:tcPr>
            <w:tcW w:w="2154" w:type="dxa"/>
          </w:tcPr>
          <w:p w:rsidR="00EA226E" w:rsidRDefault="00EA226E">
            <w:pPr>
              <w:pStyle w:val="ConsPlusNormal"/>
              <w:jc w:val="center"/>
            </w:pPr>
            <w:r>
              <w:t>Вероятность реализации риска</w:t>
            </w:r>
          </w:p>
        </w:tc>
        <w:tc>
          <w:tcPr>
            <w:tcW w:w="1644" w:type="dxa"/>
          </w:tcPr>
          <w:p w:rsidR="00EA226E" w:rsidRDefault="00EA226E">
            <w:pPr>
              <w:pStyle w:val="ConsPlusNormal"/>
              <w:jc w:val="center"/>
            </w:pPr>
            <w:r>
              <w:t>Уровень риска</w:t>
            </w:r>
          </w:p>
        </w:tc>
      </w:tr>
      <w:tr w:rsidR="00EA226E">
        <w:tc>
          <w:tcPr>
            <w:tcW w:w="454" w:type="dxa"/>
          </w:tcPr>
          <w:p w:rsidR="00EA226E" w:rsidRDefault="00EA226E">
            <w:pPr>
              <w:pStyle w:val="ConsPlusNormal"/>
              <w:jc w:val="center"/>
            </w:pPr>
            <w:bookmarkStart w:id="10" w:name="P295"/>
            <w:bookmarkEnd w:id="10"/>
            <w:r>
              <w:t>1</w:t>
            </w:r>
          </w:p>
        </w:tc>
        <w:tc>
          <w:tcPr>
            <w:tcW w:w="1080" w:type="dxa"/>
            <w:gridSpan w:val="3"/>
          </w:tcPr>
          <w:p w:rsidR="00EA226E" w:rsidRDefault="00EA226E">
            <w:pPr>
              <w:pStyle w:val="ConsPlusNormal"/>
              <w:jc w:val="center"/>
            </w:pPr>
            <w:bookmarkStart w:id="11" w:name="P296"/>
            <w:bookmarkEnd w:id="11"/>
            <w:r>
              <w:t>2</w:t>
            </w:r>
          </w:p>
        </w:tc>
        <w:tc>
          <w:tcPr>
            <w:tcW w:w="1757" w:type="dxa"/>
          </w:tcPr>
          <w:p w:rsidR="00EA226E" w:rsidRDefault="00EA226E">
            <w:pPr>
              <w:pStyle w:val="ConsPlusNormal"/>
              <w:jc w:val="center"/>
            </w:pPr>
            <w:bookmarkStart w:id="12" w:name="P297"/>
            <w:bookmarkEnd w:id="12"/>
            <w:r>
              <w:t>3</w:t>
            </w:r>
          </w:p>
        </w:tc>
        <w:tc>
          <w:tcPr>
            <w:tcW w:w="1928" w:type="dxa"/>
          </w:tcPr>
          <w:p w:rsidR="00EA226E" w:rsidRDefault="00EA226E">
            <w:pPr>
              <w:pStyle w:val="ConsPlusNormal"/>
              <w:jc w:val="center"/>
            </w:pPr>
            <w:bookmarkStart w:id="13" w:name="P298"/>
            <w:bookmarkEnd w:id="13"/>
            <w:r>
              <w:t>4</w:t>
            </w:r>
          </w:p>
        </w:tc>
        <w:tc>
          <w:tcPr>
            <w:tcW w:w="2154" w:type="dxa"/>
          </w:tcPr>
          <w:p w:rsidR="00EA226E" w:rsidRDefault="00EA226E">
            <w:pPr>
              <w:pStyle w:val="ConsPlusNormal"/>
              <w:jc w:val="center"/>
            </w:pPr>
            <w:bookmarkStart w:id="14" w:name="P299"/>
            <w:bookmarkEnd w:id="14"/>
            <w:r>
              <w:t>5</w:t>
            </w:r>
          </w:p>
        </w:tc>
        <w:tc>
          <w:tcPr>
            <w:tcW w:w="1644" w:type="dxa"/>
          </w:tcPr>
          <w:p w:rsidR="00EA226E" w:rsidRDefault="00EA226E">
            <w:pPr>
              <w:pStyle w:val="ConsPlusNormal"/>
              <w:jc w:val="center"/>
            </w:pPr>
            <w:bookmarkStart w:id="15" w:name="P300"/>
            <w:bookmarkEnd w:id="15"/>
            <w:r>
              <w:t>6</w:t>
            </w:r>
          </w:p>
        </w:tc>
      </w:tr>
      <w:tr w:rsidR="00EA226E">
        <w:tc>
          <w:tcPr>
            <w:tcW w:w="9017" w:type="dxa"/>
            <w:gridSpan w:val="8"/>
          </w:tcPr>
          <w:p w:rsidR="00EA226E" w:rsidRDefault="00EA226E">
            <w:pPr>
              <w:pStyle w:val="ConsPlusNormal"/>
              <w:jc w:val="center"/>
              <w:outlineLvl w:val="2"/>
            </w:pPr>
            <w:r>
              <w:t>Направление деятельности: I. (указывается направление деятельности ТОФК)</w:t>
            </w:r>
          </w:p>
        </w:tc>
      </w:tr>
      <w:tr w:rsidR="00EA226E">
        <w:tc>
          <w:tcPr>
            <w:tcW w:w="454" w:type="dxa"/>
          </w:tcPr>
          <w:p w:rsidR="00EA226E" w:rsidRDefault="00EA226E">
            <w:pPr>
              <w:pStyle w:val="ConsPlusNormal"/>
              <w:jc w:val="center"/>
            </w:pPr>
            <w:r>
              <w:t>1.</w:t>
            </w:r>
          </w:p>
        </w:tc>
        <w:tc>
          <w:tcPr>
            <w:tcW w:w="360" w:type="dxa"/>
          </w:tcPr>
          <w:p w:rsidR="00EA226E" w:rsidRDefault="00EA226E">
            <w:pPr>
              <w:pStyle w:val="ConsPlusNormal"/>
              <w:jc w:val="center"/>
            </w:pPr>
            <w:r>
              <w:t>1</w:t>
            </w:r>
          </w:p>
        </w:tc>
        <w:tc>
          <w:tcPr>
            <w:tcW w:w="360" w:type="dxa"/>
          </w:tcPr>
          <w:p w:rsidR="00EA226E" w:rsidRDefault="00EA226E">
            <w:pPr>
              <w:pStyle w:val="ConsPlusNormal"/>
              <w:jc w:val="center"/>
            </w:pPr>
            <w:r>
              <w:t>1</w:t>
            </w:r>
          </w:p>
        </w:tc>
        <w:tc>
          <w:tcPr>
            <w:tcW w:w="360" w:type="dxa"/>
          </w:tcPr>
          <w:p w:rsidR="00EA226E" w:rsidRDefault="00EA226E">
            <w:pPr>
              <w:pStyle w:val="ConsPlusNormal"/>
              <w:jc w:val="center"/>
            </w:pPr>
            <w:r>
              <w:t>0</w:t>
            </w:r>
          </w:p>
        </w:tc>
        <w:tc>
          <w:tcPr>
            <w:tcW w:w="1757" w:type="dxa"/>
          </w:tcPr>
          <w:p w:rsidR="00EA226E" w:rsidRDefault="00EA226E">
            <w:pPr>
              <w:pStyle w:val="ConsPlusNormal"/>
            </w:pPr>
          </w:p>
        </w:tc>
        <w:tc>
          <w:tcPr>
            <w:tcW w:w="1928" w:type="dxa"/>
          </w:tcPr>
          <w:p w:rsidR="00EA226E" w:rsidRDefault="00EA226E">
            <w:pPr>
              <w:pStyle w:val="ConsPlusNormal"/>
            </w:pPr>
          </w:p>
        </w:tc>
        <w:tc>
          <w:tcPr>
            <w:tcW w:w="2154" w:type="dxa"/>
          </w:tcPr>
          <w:p w:rsidR="00EA226E" w:rsidRDefault="00EA226E">
            <w:pPr>
              <w:pStyle w:val="ConsPlusNormal"/>
            </w:pPr>
          </w:p>
        </w:tc>
        <w:tc>
          <w:tcPr>
            <w:tcW w:w="1644" w:type="dxa"/>
          </w:tcPr>
          <w:p w:rsidR="00EA226E" w:rsidRDefault="00EA226E">
            <w:pPr>
              <w:pStyle w:val="ConsPlusNormal"/>
            </w:pPr>
          </w:p>
        </w:tc>
      </w:tr>
      <w:tr w:rsidR="00EA226E">
        <w:tc>
          <w:tcPr>
            <w:tcW w:w="454" w:type="dxa"/>
          </w:tcPr>
          <w:p w:rsidR="00EA226E" w:rsidRDefault="00EA226E">
            <w:pPr>
              <w:pStyle w:val="ConsPlusNormal"/>
              <w:jc w:val="center"/>
            </w:pPr>
            <w:r>
              <w:t>2.</w:t>
            </w:r>
          </w:p>
        </w:tc>
        <w:tc>
          <w:tcPr>
            <w:tcW w:w="360" w:type="dxa"/>
          </w:tcPr>
          <w:p w:rsidR="00EA226E" w:rsidRDefault="00EA226E">
            <w:pPr>
              <w:pStyle w:val="ConsPlusNormal"/>
              <w:jc w:val="center"/>
            </w:pPr>
            <w:r>
              <w:t>1</w:t>
            </w:r>
          </w:p>
        </w:tc>
        <w:tc>
          <w:tcPr>
            <w:tcW w:w="360" w:type="dxa"/>
          </w:tcPr>
          <w:p w:rsidR="00EA226E" w:rsidRDefault="00EA226E">
            <w:pPr>
              <w:pStyle w:val="ConsPlusNormal"/>
              <w:jc w:val="center"/>
            </w:pPr>
            <w:r>
              <w:t>2</w:t>
            </w:r>
          </w:p>
        </w:tc>
        <w:tc>
          <w:tcPr>
            <w:tcW w:w="360" w:type="dxa"/>
          </w:tcPr>
          <w:p w:rsidR="00EA226E" w:rsidRDefault="00EA226E">
            <w:pPr>
              <w:pStyle w:val="ConsPlusNormal"/>
              <w:jc w:val="center"/>
            </w:pPr>
            <w:r>
              <w:t>0</w:t>
            </w:r>
          </w:p>
        </w:tc>
        <w:tc>
          <w:tcPr>
            <w:tcW w:w="1757" w:type="dxa"/>
          </w:tcPr>
          <w:p w:rsidR="00EA226E" w:rsidRDefault="00EA226E">
            <w:pPr>
              <w:pStyle w:val="ConsPlusNormal"/>
            </w:pPr>
          </w:p>
        </w:tc>
        <w:tc>
          <w:tcPr>
            <w:tcW w:w="1928" w:type="dxa"/>
          </w:tcPr>
          <w:p w:rsidR="00EA226E" w:rsidRDefault="00EA226E">
            <w:pPr>
              <w:pStyle w:val="ConsPlusNormal"/>
            </w:pPr>
          </w:p>
        </w:tc>
        <w:tc>
          <w:tcPr>
            <w:tcW w:w="2154" w:type="dxa"/>
          </w:tcPr>
          <w:p w:rsidR="00EA226E" w:rsidRDefault="00EA226E">
            <w:pPr>
              <w:pStyle w:val="ConsPlusNormal"/>
            </w:pPr>
          </w:p>
        </w:tc>
        <w:tc>
          <w:tcPr>
            <w:tcW w:w="1644" w:type="dxa"/>
          </w:tcPr>
          <w:p w:rsidR="00EA226E" w:rsidRDefault="00EA226E">
            <w:pPr>
              <w:pStyle w:val="ConsPlusNormal"/>
            </w:pPr>
          </w:p>
        </w:tc>
      </w:tr>
      <w:tr w:rsidR="00EA226E">
        <w:tc>
          <w:tcPr>
            <w:tcW w:w="454" w:type="dxa"/>
          </w:tcPr>
          <w:p w:rsidR="00EA226E" w:rsidRDefault="00EA226E">
            <w:pPr>
              <w:pStyle w:val="ConsPlusNormal"/>
              <w:jc w:val="center"/>
            </w:pPr>
            <w:r>
              <w:t>3.</w:t>
            </w:r>
          </w:p>
        </w:tc>
        <w:tc>
          <w:tcPr>
            <w:tcW w:w="360" w:type="dxa"/>
          </w:tcPr>
          <w:p w:rsidR="00EA226E" w:rsidRDefault="00EA226E">
            <w:pPr>
              <w:pStyle w:val="ConsPlusNormal"/>
              <w:jc w:val="center"/>
            </w:pPr>
            <w:r>
              <w:t>1</w:t>
            </w:r>
          </w:p>
        </w:tc>
        <w:tc>
          <w:tcPr>
            <w:tcW w:w="360" w:type="dxa"/>
          </w:tcPr>
          <w:p w:rsidR="00EA226E" w:rsidRDefault="00EA226E">
            <w:pPr>
              <w:pStyle w:val="ConsPlusNormal"/>
              <w:jc w:val="center"/>
            </w:pPr>
            <w:r>
              <w:t>2</w:t>
            </w:r>
          </w:p>
        </w:tc>
        <w:tc>
          <w:tcPr>
            <w:tcW w:w="360" w:type="dxa"/>
          </w:tcPr>
          <w:p w:rsidR="00EA226E" w:rsidRDefault="00EA226E">
            <w:pPr>
              <w:pStyle w:val="ConsPlusNormal"/>
              <w:jc w:val="center"/>
            </w:pPr>
            <w:r>
              <w:t>1</w:t>
            </w:r>
          </w:p>
        </w:tc>
        <w:tc>
          <w:tcPr>
            <w:tcW w:w="1757" w:type="dxa"/>
          </w:tcPr>
          <w:p w:rsidR="00EA226E" w:rsidRDefault="00EA226E">
            <w:pPr>
              <w:pStyle w:val="ConsPlusNormal"/>
            </w:pPr>
          </w:p>
        </w:tc>
        <w:tc>
          <w:tcPr>
            <w:tcW w:w="1928" w:type="dxa"/>
          </w:tcPr>
          <w:p w:rsidR="00EA226E" w:rsidRDefault="00EA226E">
            <w:pPr>
              <w:pStyle w:val="ConsPlusNormal"/>
            </w:pPr>
          </w:p>
        </w:tc>
        <w:tc>
          <w:tcPr>
            <w:tcW w:w="2154" w:type="dxa"/>
          </w:tcPr>
          <w:p w:rsidR="00EA226E" w:rsidRDefault="00EA226E">
            <w:pPr>
              <w:pStyle w:val="ConsPlusNormal"/>
            </w:pPr>
          </w:p>
        </w:tc>
        <w:tc>
          <w:tcPr>
            <w:tcW w:w="1644" w:type="dxa"/>
          </w:tcPr>
          <w:p w:rsidR="00EA226E" w:rsidRDefault="00EA226E">
            <w:pPr>
              <w:pStyle w:val="ConsPlusNormal"/>
            </w:pPr>
          </w:p>
        </w:tc>
      </w:tr>
      <w:tr w:rsidR="00EA226E">
        <w:tc>
          <w:tcPr>
            <w:tcW w:w="454" w:type="dxa"/>
          </w:tcPr>
          <w:p w:rsidR="00EA226E" w:rsidRDefault="00EA226E">
            <w:pPr>
              <w:pStyle w:val="ConsPlusNormal"/>
              <w:jc w:val="center"/>
            </w:pPr>
            <w:r>
              <w:t>...</w:t>
            </w:r>
          </w:p>
        </w:tc>
        <w:tc>
          <w:tcPr>
            <w:tcW w:w="360" w:type="dxa"/>
          </w:tcPr>
          <w:p w:rsidR="00EA226E" w:rsidRDefault="00EA226E">
            <w:pPr>
              <w:pStyle w:val="ConsPlusNormal"/>
            </w:pPr>
          </w:p>
        </w:tc>
        <w:tc>
          <w:tcPr>
            <w:tcW w:w="360" w:type="dxa"/>
          </w:tcPr>
          <w:p w:rsidR="00EA226E" w:rsidRDefault="00EA226E">
            <w:pPr>
              <w:pStyle w:val="ConsPlusNormal"/>
            </w:pPr>
          </w:p>
        </w:tc>
        <w:tc>
          <w:tcPr>
            <w:tcW w:w="360" w:type="dxa"/>
          </w:tcPr>
          <w:p w:rsidR="00EA226E" w:rsidRDefault="00EA226E">
            <w:pPr>
              <w:pStyle w:val="ConsPlusNormal"/>
            </w:pPr>
          </w:p>
        </w:tc>
        <w:tc>
          <w:tcPr>
            <w:tcW w:w="1757" w:type="dxa"/>
          </w:tcPr>
          <w:p w:rsidR="00EA226E" w:rsidRDefault="00EA226E">
            <w:pPr>
              <w:pStyle w:val="ConsPlusNormal"/>
            </w:pPr>
          </w:p>
        </w:tc>
        <w:tc>
          <w:tcPr>
            <w:tcW w:w="1928" w:type="dxa"/>
          </w:tcPr>
          <w:p w:rsidR="00EA226E" w:rsidRDefault="00EA226E">
            <w:pPr>
              <w:pStyle w:val="ConsPlusNormal"/>
            </w:pPr>
          </w:p>
        </w:tc>
        <w:tc>
          <w:tcPr>
            <w:tcW w:w="2154" w:type="dxa"/>
          </w:tcPr>
          <w:p w:rsidR="00EA226E" w:rsidRDefault="00EA226E">
            <w:pPr>
              <w:pStyle w:val="ConsPlusNormal"/>
            </w:pPr>
          </w:p>
        </w:tc>
        <w:tc>
          <w:tcPr>
            <w:tcW w:w="1644" w:type="dxa"/>
          </w:tcPr>
          <w:p w:rsidR="00EA226E" w:rsidRDefault="00EA226E">
            <w:pPr>
              <w:pStyle w:val="ConsPlusNormal"/>
            </w:pPr>
          </w:p>
        </w:tc>
      </w:tr>
      <w:tr w:rsidR="00EA226E">
        <w:tc>
          <w:tcPr>
            <w:tcW w:w="454" w:type="dxa"/>
          </w:tcPr>
          <w:p w:rsidR="00EA226E" w:rsidRDefault="00EA226E">
            <w:pPr>
              <w:pStyle w:val="ConsPlusNormal"/>
              <w:jc w:val="center"/>
            </w:pPr>
            <w:r>
              <w:t>...</w:t>
            </w:r>
          </w:p>
        </w:tc>
        <w:tc>
          <w:tcPr>
            <w:tcW w:w="360" w:type="dxa"/>
          </w:tcPr>
          <w:p w:rsidR="00EA226E" w:rsidRDefault="00EA226E">
            <w:pPr>
              <w:pStyle w:val="ConsPlusNormal"/>
            </w:pPr>
          </w:p>
        </w:tc>
        <w:tc>
          <w:tcPr>
            <w:tcW w:w="360" w:type="dxa"/>
          </w:tcPr>
          <w:p w:rsidR="00EA226E" w:rsidRDefault="00EA226E">
            <w:pPr>
              <w:pStyle w:val="ConsPlusNormal"/>
            </w:pPr>
          </w:p>
        </w:tc>
        <w:tc>
          <w:tcPr>
            <w:tcW w:w="360" w:type="dxa"/>
          </w:tcPr>
          <w:p w:rsidR="00EA226E" w:rsidRDefault="00EA226E">
            <w:pPr>
              <w:pStyle w:val="ConsPlusNormal"/>
            </w:pPr>
          </w:p>
        </w:tc>
        <w:tc>
          <w:tcPr>
            <w:tcW w:w="1757" w:type="dxa"/>
          </w:tcPr>
          <w:p w:rsidR="00EA226E" w:rsidRDefault="00EA226E">
            <w:pPr>
              <w:pStyle w:val="ConsPlusNormal"/>
            </w:pPr>
          </w:p>
        </w:tc>
        <w:tc>
          <w:tcPr>
            <w:tcW w:w="1928" w:type="dxa"/>
          </w:tcPr>
          <w:p w:rsidR="00EA226E" w:rsidRDefault="00EA226E">
            <w:pPr>
              <w:pStyle w:val="ConsPlusNormal"/>
            </w:pPr>
          </w:p>
        </w:tc>
        <w:tc>
          <w:tcPr>
            <w:tcW w:w="2154" w:type="dxa"/>
          </w:tcPr>
          <w:p w:rsidR="00EA226E" w:rsidRDefault="00EA226E">
            <w:pPr>
              <w:pStyle w:val="ConsPlusNormal"/>
            </w:pPr>
          </w:p>
        </w:tc>
        <w:tc>
          <w:tcPr>
            <w:tcW w:w="1644" w:type="dxa"/>
          </w:tcPr>
          <w:p w:rsidR="00EA226E" w:rsidRDefault="00EA226E">
            <w:pPr>
              <w:pStyle w:val="ConsPlusNormal"/>
            </w:pPr>
          </w:p>
        </w:tc>
      </w:tr>
      <w:tr w:rsidR="00EA226E">
        <w:tc>
          <w:tcPr>
            <w:tcW w:w="9017" w:type="dxa"/>
            <w:gridSpan w:val="8"/>
          </w:tcPr>
          <w:p w:rsidR="00EA226E" w:rsidRDefault="00EA226E">
            <w:pPr>
              <w:pStyle w:val="ConsPlusNormal"/>
              <w:jc w:val="center"/>
              <w:outlineLvl w:val="2"/>
            </w:pPr>
            <w:r>
              <w:t>Направление деятельности: II. (указывается направление деятельности ТОФК)</w:t>
            </w:r>
          </w:p>
        </w:tc>
      </w:tr>
      <w:tr w:rsidR="00EA226E">
        <w:tc>
          <w:tcPr>
            <w:tcW w:w="454" w:type="dxa"/>
          </w:tcPr>
          <w:p w:rsidR="00EA226E" w:rsidRDefault="00EA226E">
            <w:pPr>
              <w:pStyle w:val="ConsPlusNormal"/>
              <w:jc w:val="center"/>
            </w:pPr>
            <w:r>
              <w:t>...</w:t>
            </w:r>
          </w:p>
        </w:tc>
        <w:tc>
          <w:tcPr>
            <w:tcW w:w="360" w:type="dxa"/>
          </w:tcPr>
          <w:p w:rsidR="00EA226E" w:rsidRDefault="00EA226E">
            <w:pPr>
              <w:pStyle w:val="ConsPlusNormal"/>
            </w:pPr>
          </w:p>
        </w:tc>
        <w:tc>
          <w:tcPr>
            <w:tcW w:w="360" w:type="dxa"/>
          </w:tcPr>
          <w:p w:rsidR="00EA226E" w:rsidRDefault="00EA226E">
            <w:pPr>
              <w:pStyle w:val="ConsPlusNormal"/>
            </w:pPr>
          </w:p>
        </w:tc>
        <w:tc>
          <w:tcPr>
            <w:tcW w:w="360" w:type="dxa"/>
          </w:tcPr>
          <w:p w:rsidR="00EA226E" w:rsidRDefault="00EA226E">
            <w:pPr>
              <w:pStyle w:val="ConsPlusNormal"/>
            </w:pPr>
          </w:p>
        </w:tc>
        <w:tc>
          <w:tcPr>
            <w:tcW w:w="1757" w:type="dxa"/>
          </w:tcPr>
          <w:p w:rsidR="00EA226E" w:rsidRDefault="00EA226E">
            <w:pPr>
              <w:pStyle w:val="ConsPlusNormal"/>
            </w:pPr>
          </w:p>
        </w:tc>
        <w:tc>
          <w:tcPr>
            <w:tcW w:w="1928" w:type="dxa"/>
          </w:tcPr>
          <w:p w:rsidR="00EA226E" w:rsidRDefault="00EA226E">
            <w:pPr>
              <w:pStyle w:val="ConsPlusNormal"/>
            </w:pPr>
          </w:p>
        </w:tc>
        <w:tc>
          <w:tcPr>
            <w:tcW w:w="2154" w:type="dxa"/>
          </w:tcPr>
          <w:p w:rsidR="00EA226E" w:rsidRDefault="00EA226E">
            <w:pPr>
              <w:pStyle w:val="ConsPlusNormal"/>
            </w:pPr>
          </w:p>
        </w:tc>
        <w:tc>
          <w:tcPr>
            <w:tcW w:w="1644" w:type="dxa"/>
          </w:tcPr>
          <w:p w:rsidR="00EA226E" w:rsidRDefault="00EA226E">
            <w:pPr>
              <w:pStyle w:val="ConsPlusNormal"/>
            </w:pPr>
          </w:p>
        </w:tc>
      </w:tr>
    </w:tbl>
    <w:p w:rsidR="00EA226E" w:rsidRDefault="00EA226E">
      <w:pPr>
        <w:pStyle w:val="ConsPlusNormal"/>
        <w:jc w:val="both"/>
      </w:pPr>
    </w:p>
    <w:p w:rsidR="00EA226E" w:rsidRDefault="00EA226E">
      <w:pPr>
        <w:pStyle w:val="ConsPlusNormal"/>
        <w:jc w:val="center"/>
        <w:outlineLvl w:val="2"/>
      </w:pPr>
      <w:r>
        <w:t>Указания</w:t>
      </w:r>
    </w:p>
    <w:p w:rsidR="00EA226E" w:rsidRDefault="00EA226E">
      <w:pPr>
        <w:pStyle w:val="ConsPlusNormal"/>
        <w:jc w:val="center"/>
      </w:pPr>
      <w:r>
        <w:t xml:space="preserve">по заполнению формы "Классификатор </w:t>
      </w:r>
      <w:proofErr w:type="gramStart"/>
      <w:r>
        <w:t>внутренних</w:t>
      </w:r>
      <w:proofErr w:type="gramEnd"/>
    </w:p>
    <w:p w:rsidR="00EA226E" w:rsidRDefault="00EA226E">
      <w:pPr>
        <w:pStyle w:val="ConsPlusNormal"/>
        <w:jc w:val="center"/>
      </w:pPr>
      <w:r>
        <w:t>(операционных) казначейских рисков по направлениям</w:t>
      </w:r>
    </w:p>
    <w:p w:rsidR="00EA226E" w:rsidRDefault="00EA226E">
      <w:pPr>
        <w:pStyle w:val="ConsPlusNormal"/>
        <w:jc w:val="center"/>
      </w:pPr>
      <w:r>
        <w:t>деятельности территориального органа</w:t>
      </w:r>
    </w:p>
    <w:p w:rsidR="00EA226E" w:rsidRDefault="00EA226E">
      <w:pPr>
        <w:pStyle w:val="ConsPlusNormal"/>
        <w:jc w:val="center"/>
      </w:pPr>
      <w:r>
        <w:t>Федерального казначейства"</w:t>
      </w:r>
    </w:p>
    <w:p w:rsidR="00EA226E" w:rsidRDefault="00EA226E">
      <w:pPr>
        <w:pStyle w:val="ConsPlusNormal"/>
        <w:jc w:val="both"/>
      </w:pPr>
    </w:p>
    <w:p w:rsidR="00EA226E" w:rsidRDefault="00EA226E">
      <w:pPr>
        <w:pStyle w:val="ConsPlusNormal"/>
        <w:ind w:firstLine="540"/>
        <w:jc w:val="both"/>
      </w:pPr>
      <w:r>
        <w:lastRenderedPageBreak/>
        <w:t xml:space="preserve">1. В </w:t>
      </w:r>
      <w:hyperlink w:anchor="P279" w:history="1">
        <w:r>
          <w:rPr>
            <w:color w:val="0000FF"/>
          </w:rPr>
          <w:t>заголовочной части</w:t>
        </w:r>
      </w:hyperlink>
      <w:r>
        <w:t xml:space="preserve"> формы указывается полное наименование территориального органа Федерального казначейства.</w:t>
      </w:r>
    </w:p>
    <w:p w:rsidR="00EA226E" w:rsidRDefault="00EA226E">
      <w:pPr>
        <w:pStyle w:val="ConsPlusNormal"/>
        <w:spacing w:before="220"/>
        <w:ind w:firstLine="540"/>
        <w:jc w:val="both"/>
      </w:pPr>
      <w:r>
        <w:t xml:space="preserve">2. В </w:t>
      </w:r>
      <w:hyperlink w:anchor="P295" w:history="1">
        <w:r>
          <w:rPr>
            <w:color w:val="0000FF"/>
          </w:rPr>
          <w:t>графе 1</w:t>
        </w:r>
      </w:hyperlink>
      <w:r>
        <w:t xml:space="preserve"> формы указывается порядковый номер внутреннего риска территориального органа Федерального казначейства.</w:t>
      </w:r>
    </w:p>
    <w:p w:rsidR="00EA226E" w:rsidRDefault="00EA226E">
      <w:pPr>
        <w:pStyle w:val="ConsPlusNormal"/>
        <w:spacing w:before="220"/>
        <w:ind w:firstLine="540"/>
        <w:jc w:val="both"/>
      </w:pPr>
      <w:r>
        <w:t xml:space="preserve">3. В </w:t>
      </w:r>
      <w:hyperlink w:anchor="P296" w:history="1">
        <w:r>
          <w:rPr>
            <w:color w:val="0000FF"/>
          </w:rPr>
          <w:t>графе 2</w:t>
        </w:r>
      </w:hyperlink>
      <w:r>
        <w:t xml:space="preserve"> формы указывается код внутреннего риска.</w:t>
      </w:r>
    </w:p>
    <w:p w:rsidR="00EA226E" w:rsidRDefault="00EA226E">
      <w:pPr>
        <w:pStyle w:val="ConsPlusNormal"/>
        <w:spacing w:before="220"/>
        <w:ind w:firstLine="540"/>
        <w:jc w:val="both"/>
      </w:pPr>
      <w:r>
        <w:t xml:space="preserve">4. В </w:t>
      </w:r>
      <w:hyperlink w:anchor="P297" w:history="1">
        <w:r>
          <w:rPr>
            <w:color w:val="0000FF"/>
          </w:rPr>
          <w:t>графе 3</w:t>
        </w:r>
      </w:hyperlink>
      <w:r>
        <w:t xml:space="preserve"> формы указывается наименование внутреннего риска.</w:t>
      </w:r>
    </w:p>
    <w:p w:rsidR="00EA226E" w:rsidRDefault="00EA226E">
      <w:pPr>
        <w:pStyle w:val="ConsPlusNormal"/>
        <w:spacing w:before="220"/>
        <w:ind w:firstLine="540"/>
        <w:jc w:val="both"/>
      </w:pPr>
      <w:r>
        <w:t xml:space="preserve">5. В </w:t>
      </w:r>
      <w:hyperlink w:anchor="P298" w:history="1">
        <w:r>
          <w:rPr>
            <w:color w:val="0000FF"/>
          </w:rPr>
          <w:t>графе 4</w:t>
        </w:r>
      </w:hyperlink>
      <w:r>
        <w:t xml:space="preserve"> формы указывается значимость внутреннего риска в единицах.</w:t>
      </w:r>
    </w:p>
    <w:p w:rsidR="00EA226E" w:rsidRDefault="00EA226E">
      <w:pPr>
        <w:pStyle w:val="ConsPlusNormal"/>
        <w:spacing w:before="220"/>
        <w:ind w:firstLine="540"/>
        <w:jc w:val="both"/>
      </w:pPr>
      <w:r>
        <w:t xml:space="preserve">6. В </w:t>
      </w:r>
      <w:hyperlink w:anchor="P299" w:history="1">
        <w:r>
          <w:rPr>
            <w:color w:val="0000FF"/>
          </w:rPr>
          <w:t>графе 5</w:t>
        </w:r>
      </w:hyperlink>
      <w:r>
        <w:t xml:space="preserve"> формы указывается вероятность реализации внутреннего риска.</w:t>
      </w:r>
    </w:p>
    <w:p w:rsidR="00EA226E" w:rsidRDefault="00EA226E">
      <w:pPr>
        <w:pStyle w:val="ConsPlusNormal"/>
        <w:spacing w:before="220"/>
        <w:ind w:firstLine="540"/>
        <w:jc w:val="both"/>
      </w:pPr>
      <w:r>
        <w:t xml:space="preserve">7. В </w:t>
      </w:r>
      <w:hyperlink w:anchor="P300" w:history="1">
        <w:r>
          <w:rPr>
            <w:color w:val="0000FF"/>
          </w:rPr>
          <w:t>графе 6</w:t>
        </w:r>
      </w:hyperlink>
      <w:r>
        <w:t xml:space="preserve"> формы указывается уровень внутреннего риска.</w:t>
      </w:r>
    </w:p>
    <w:p w:rsidR="00EA226E" w:rsidRDefault="00EA226E">
      <w:pPr>
        <w:pStyle w:val="ConsPlusNormal"/>
        <w:jc w:val="both"/>
      </w:pPr>
    </w:p>
    <w:p w:rsidR="00EA226E" w:rsidRDefault="00EA226E">
      <w:pPr>
        <w:pStyle w:val="ConsPlusNormal"/>
        <w:jc w:val="both"/>
      </w:pPr>
    </w:p>
    <w:p w:rsidR="00EA226E" w:rsidRDefault="00EA226E">
      <w:pPr>
        <w:pStyle w:val="ConsPlusNormal"/>
        <w:jc w:val="both"/>
      </w:pPr>
    </w:p>
    <w:p w:rsidR="00EA226E" w:rsidRDefault="00EA226E">
      <w:pPr>
        <w:pStyle w:val="ConsPlusNormal"/>
        <w:jc w:val="both"/>
      </w:pPr>
    </w:p>
    <w:p w:rsidR="00EA226E" w:rsidRDefault="00EA226E">
      <w:pPr>
        <w:pStyle w:val="ConsPlusNormal"/>
        <w:jc w:val="both"/>
      </w:pPr>
    </w:p>
    <w:p w:rsidR="00EA226E" w:rsidRDefault="00EA226E">
      <w:pPr>
        <w:sectPr w:rsidR="00EA226E" w:rsidSect="00A508CE">
          <w:pgSz w:w="11906" w:h="16838"/>
          <w:pgMar w:top="1134" w:right="567" w:bottom="1134" w:left="1134" w:header="709" w:footer="709" w:gutter="0"/>
          <w:cols w:space="708"/>
          <w:docGrid w:linePitch="360"/>
        </w:sectPr>
      </w:pPr>
    </w:p>
    <w:p w:rsidR="00EA226E" w:rsidRDefault="00EA226E">
      <w:pPr>
        <w:pStyle w:val="ConsPlusNormal"/>
        <w:jc w:val="right"/>
        <w:outlineLvl w:val="1"/>
      </w:pPr>
      <w:r>
        <w:lastRenderedPageBreak/>
        <w:t>Приложение N 2</w:t>
      </w:r>
    </w:p>
    <w:p w:rsidR="00EA226E" w:rsidRDefault="00EA226E">
      <w:pPr>
        <w:pStyle w:val="ConsPlusNormal"/>
        <w:jc w:val="right"/>
      </w:pPr>
      <w:r>
        <w:t xml:space="preserve">к Стандарту управления </w:t>
      </w:r>
      <w:proofErr w:type="gramStart"/>
      <w:r>
        <w:t>внутренними</w:t>
      </w:r>
      <w:proofErr w:type="gramEnd"/>
    </w:p>
    <w:p w:rsidR="00EA226E" w:rsidRDefault="00EA226E">
      <w:pPr>
        <w:pStyle w:val="ConsPlusNormal"/>
        <w:jc w:val="right"/>
      </w:pPr>
      <w:r>
        <w:t>(операционными) казначейскими рисками</w:t>
      </w:r>
    </w:p>
    <w:p w:rsidR="00EA226E" w:rsidRDefault="00EA226E">
      <w:pPr>
        <w:pStyle w:val="ConsPlusNormal"/>
        <w:jc w:val="right"/>
      </w:pPr>
      <w:r>
        <w:t>в Федеральном казначействе</w:t>
      </w:r>
    </w:p>
    <w:p w:rsidR="00EA226E" w:rsidRDefault="00EA226E">
      <w:pPr>
        <w:pStyle w:val="ConsPlusNormal"/>
        <w:jc w:val="both"/>
      </w:pPr>
    </w:p>
    <w:p w:rsidR="00EA226E" w:rsidRDefault="00EA226E">
      <w:pPr>
        <w:pStyle w:val="ConsPlusNormal"/>
        <w:jc w:val="center"/>
      </w:pPr>
      <w:bookmarkStart w:id="16" w:name="P375"/>
      <w:bookmarkEnd w:id="16"/>
      <w:r>
        <w:t>ФОРМА РЕЕСТРА ВНУТРЕННИХ РИСКОВ</w:t>
      </w:r>
    </w:p>
    <w:p w:rsidR="00EA226E" w:rsidRDefault="00EA226E">
      <w:pPr>
        <w:pStyle w:val="ConsPlusNormal"/>
        <w:jc w:val="both"/>
      </w:pPr>
    </w:p>
    <w:p w:rsidR="00EA226E" w:rsidRDefault="00EA226E">
      <w:pPr>
        <w:pStyle w:val="ConsPlusNonformat"/>
        <w:jc w:val="both"/>
      </w:pPr>
      <w:r>
        <w:t xml:space="preserve">                                                  УТВЕРЖДАЮ</w:t>
      </w:r>
    </w:p>
    <w:p w:rsidR="00EA226E" w:rsidRDefault="00EA226E">
      <w:pPr>
        <w:pStyle w:val="ConsPlusNonformat"/>
        <w:jc w:val="both"/>
      </w:pPr>
      <w:r>
        <w:t xml:space="preserve">                                    Руководитель (заместитель руководителя)</w:t>
      </w:r>
    </w:p>
    <w:p w:rsidR="00EA226E" w:rsidRDefault="00EA226E">
      <w:pPr>
        <w:pStyle w:val="ConsPlusNonformat"/>
        <w:jc w:val="both"/>
      </w:pPr>
      <w:r>
        <w:t xml:space="preserve">                                       органа Федерального казначейства</w:t>
      </w:r>
    </w:p>
    <w:p w:rsidR="00EA226E" w:rsidRDefault="00EA226E">
      <w:pPr>
        <w:pStyle w:val="ConsPlusNonformat"/>
        <w:jc w:val="both"/>
      </w:pPr>
      <w:r>
        <w:t xml:space="preserve">                                       </w:t>
      </w:r>
      <w:proofErr w:type="gramStart"/>
      <w:r>
        <w:t>(директор (заместитель директора)</w:t>
      </w:r>
      <w:proofErr w:type="gramEnd"/>
    </w:p>
    <w:p w:rsidR="00EA226E" w:rsidRDefault="00EA226E">
      <w:pPr>
        <w:pStyle w:val="ConsPlusNonformat"/>
        <w:jc w:val="both"/>
      </w:pPr>
      <w:r>
        <w:t xml:space="preserve">                                       федерального казенного учреждения</w:t>
      </w:r>
    </w:p>
    <w:p w:rsidR="00EA226E" w:rsidRDefault="00EA226E">
      <w:pPr>
        <w:pStyle w:val="ConsPlusNonformat"/>
        <w:jc w:val="both"/>
      </w:pPr>
      <w:r>
        <w:t xml:space="preserve">                                      "Центр по обеспечению деятельности</w:t>
      </w:r>
    </w:p>
    <w:p w:rsidR="00EA226E" w:rsidRDefault="00EA226E">
      <w:pPr>
        <w:pStyle w:val="ConsPlusNonformat"/>
        <w:jc w:val="both"/>
      </w:pPr>
      <w:r>
        <w:t xml:space="preserve">                                              Казначейства России"</w:t>
      </w:r>
    </w:p>
    <w:p w:rsidR="00EA226E" w:rsidRDefault="00EA226E">
      <w:pPr>
        <w:pStyle w:val="ConsPlusNonformat"/>
        <w:jc w:val="both"/>
      </w:pPr>
      <w:r>
        <w:t xml:space="preserve">                                    _________       _______________________</w:t>
      </w:r>
    </w:p>
    <w:p w:rsidR="00EA226E" w:rsidRDefault="00EA226E">
      <w:pPr>
        <w:pStyle w:val="ConsPlusNonformat"/>
        <w:jc w:val="both"/>
      </w:pPr>
      <w:r>
        <w:t xml:space="preserve">                                    (подпись)        (расшифровка подписи)</w:t>
      </w:r>
    </w:p>
    <w:p w:rsidR="00EA226E" w:rsidRDefault="00EA226E">
      <w:pPr>
        <w:pStyle w:val="ConsPlusNonformat"/>
        <w:jc w:val="both"/>
      </w:pPr>
      <w:r>
        <w:t xml:space="preserve">                                                       "__" _______ 20__ г.</w:t>
      </w:r>
    </w:p>
    <w:p w:rsidR="00EA226E" w:rsidRDefault="00EA226E">
      <w:pPr>
        <w:pStyle w:val="ConsPlusNonformat"/>
        <w:jc w:val="both"/>
      </w:pPr>
    </w:p>
    <w:p w:rsidR="00EA226E" w:rsidRDefault="00EA226E">
      <w:pPr>
        <w:pStyle w:val="ConsPlusNonformat"/>
        <w:jc w:val="both"/>
      </w:pPr>
      <w:bookmarkStart w:id="17" w:name="P388"/>
      <w:bookmarkEnd w:id="17"/>
      <w:r>
        <w:t xml:space="preserve">                         Реестр внутренних рисков</w:t>
      </w:r>
    </w:p>
    <w:p w:rsidR="00EA226E" w:rsidRDefault="00EA226E">
      <w:pPr>
        <w:pStyle w:val="ConsPlusNonformat"/>
        <w:jc w:val="both"/>
      </w:pPr>
      <w:r>
        <w:t xml:space="preserve">    ___________________________________________________________________</w:t>
      </w:r>
    </w:p>
    <w:p w:rsidR="00EA226E" w:rsidRDefault="00EA226E">
      <w:pPr>
        <w:pStyle w:val="ConsPlusNonformat"/>
        <w:jc w:val="both"/>
      </w:pPr>
      <w:r>
        <w:t xml:space="preserve">              </w:t>
      </w:r>
      <w:proofErr w:type="gramStart"/>
      <w:r>
        <w:t>(наименование структурного подразделения органа</w:t>
      </w:r>
      <w:proofErr w:type="gramEnd"/>
    </w:p>
    <w:p w:rsidR="00EA226E" w:rsidRDefault="00EA226E">
      <w:pPr>
        <w:pStyle w:val="ConsPlusNonformat"/>
        <w:jc w:val="both"/>
      </w:pPr>
      <w:r>
        <w:t xml:space="preserve">              </w:t>
      </w:r>
      <w:proofErr w:type="gramStart"/>
      <w:r>
        <w:t>Федерального казначейства, казенного учреждения)</w:t>
      </w:r>
      <w:proofErr w:type="gramEnd"/>
    </w:p>
    <w:p w:rsidR="00EA226E" w:rsidRDefault="00EA226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18"/>
        <w:gridCol w:w="1984"/>
        <w:gridCol w:w="1361"/>
        <w:gridCol w:w="907"/>
        <w:gridCol w:w="907"/>
        <w:gridCol w:w="1077"/>
        <w:gridCol w:w="1051"/>
        <w:gridCol w:w="1247"/>
        <w:gridCol w:w="1361"/>
      </w:tblGrid>
      <w:tr w:rsidR="00EA226E">
        <w:tc>
          <w:tcPr>
            <w:tcW w:w="518" w:type="dxa"/>
          </w:tcPr>
          <w:p w:rsidR="00EA226E" w:rsidRDefault="00EA226E">
            <w:pPr>
              <w:pStyle w:val="ConsPlusNormal"/>
              <w:jc w:val="center"/>
            </w:pPr>
            <w:r>
              <w:t xml:space="preserve">N </w:t>
            </w:r>
            <w:proofErr w:type="spellStart"/>
            <w:proofErr w:type="gramStart"/>
            <w:r>
              <w:t>п</w:t>
            </w:r>
            <w:proofErr w:type="spellEnd"/>
            <w:proofErr w:type="gramEnd"/>
            <w:r>
              <w:t>/</w:t>
            </w:r>
            <w:proofErr w:type="spellStart"/>
            <w:r>
              <w:t>п</w:t>
            </w:r>
            <w:proofErr w:type="spellEnd"/>
          </w:p>
        </w:tc>
        <w:tc>
          <w:tcPr>
            <w:tcW w:w="1984" w:type="dxa"/>
          </w:tcPr>
          <w:p w:rsidR="00EA226E" w:rsidRDefault="00EA226E">
            <w:pPr>
              <w:pStyle w:val="ConsPlusNormal"/>
              <w:jc w:val="center"/>
            </w:pPr>
            <w:r>
              <w:t>Наименование операции, действия (в том числе по формированию документов), подверженных риску</w:t>
            </w:r>
          </w:p>
        </w:tc>
        <w:tc>
          <w:tcPr>
            <w:tcW w:w="1361" w:type="dxa"/>
          </w:tcPr>
          <w:p w:rsidR="00EA226E" w:rsidRDefault="00EA226E">
            <w:pPr>
              <w:pStyle w:val="ConsPlusNormal"/>
              <w:jc w:val="center"/>
            </w:pPr>
            <w:r>
              <w:t>Наименование риска</w:t>
            </w:r>
          </w:p>
        </w:tc>
        <w:tc>
          <w:tcPr>
            <w:tcW w:w="907" w:type="dxa"/>
          </w:tcPr>
          <w:p w:rsidR="00EA226E" w:rsidRDefault="00EA226E">
            <w:pPr>
              <w:pStyle w:val="ConsPlusNormal"/>
              <w:jc w:val="center"/>
            </w:pPr>
            <w:r>
              <w:t>Код риска</w:t>
            </w:r>
          </w:p>
        </w:tc>
        <w:tc>
          <w:tcPr>
            <w:tcW w:w="907" w:type="dxa"/>
          </w:tcPr>
          <w:p w:rsidR="00EA226E" w:rsidRDefault="00EA226E">
            <w:pPr>
              <w:pStyle w:val="ConsPlusNormal"/>
              <w:jc w:val="center"/>
            </w:pPr>
            <w:r>
              <w:t>Значимость риска (единиц)</w:t>
            </w:r>
          </w:p>
        </w:tc>
        <w:tc>
          <w:tcPr>
            <w:tcW w:w="1077" w:type="dxa"/>
          </w:tcPr>
          <w:p w:rsidR="00EA226E" w:rsidRDefault="00EA226E">
            <w:pPr>
              <w:pStyle w:val="ConsPlusNormal"/>
              <w:jc w:val="center"/>
            </w:pPr>
            <w:r>
              <w:t>Вероятность реализации риска</w:t>
            </w:r>
          </w:p>
        </w:tc>
        <w:tc>
          <w:tcPr>
            <w:tcW w:w="1051" w:type="dxa"/>
          </w:tcPr>
          <w:p w:rsidR="00EA226E" w:rsidRDefault="00EA226E">
            <w:pPr>
              <w:pStyle w:val="ConsPlusNormal"/>
              <w:jc w:val="center"/>
            </w:pPr>
            <w:r>
              <w:t>Уровень риска</w:t>
            </w:r>
          </w:p>
        </w:tc>
        <w:tc>
          <w:tcPr>
            <w:tcW w:w="1247" w:type="dxa"/>
          </w:tcPr>
          <w:p w:rsidR="00EA226E" w:rsidRDefault="00EA226E">
            <w:pPr>
              <w:pStyle w:val="ConsPlusNormal"/>
              <w:jc w:val="center"/>
            </w:pPr>
            <w:r>
              <w:t>Способ реагирования на риск</w:t>
            </w:r>
          </w:p>
        </w:tc>
        <w:tc>
          <w:tcPr>
            <w:tcW w:w="1361" w:type="dxa"/>
          </w:tcPr>
          <w:p w:rsidR="00EA226E" w:rsidRDefault="00EA226E">
            <w:pPr>
              <w:pStyle w:val="ConsPlusNormal"/>
              <w:jc w:val="center"/>
            </w:pPr>
            <w:r>
              <w:t>Информация о мерах (кратко)</w:t>
            </w:r>
          </w:p>
        </w:tc>
      </w:tr>
      <w:tr w:rsidR="00EA226E">
        <w:tc>
          <w:tcPr>
            <w:tcW w:w="518" w:type="dxa"/>
          </w:tcPr>
          <w:p w:rsidR="00EA226E" w:rsidRDefault="00EA226E">
            <w:pPr>
              <w:pStyle w:val="ConsPlusNormal"/>
              <w:jc w:val="center"/>
            </w:pPr>
            <w:bookmarkStart w:id="18" w:name="P402"/>
            <w:bookmarkEnd w:id="18"/>
            <w:r>
              <w:t>1</w:t>
            </w:r>
          </w:p>
        </w:tc>
        <w:tc>
          <w:tcPr>
            <w:tcW w:w="1984" w:type="dxa"/>
          </w:tcPr>
          <w:p w:rsidR="00EA226E" w:rsidRDefault="00EA226E">
            <w:pPr>
              <w:pStyle w:val="ConsPlusNormal"/>
              <w:jc w:val="center"/>
            </w:pPr>
            <w:bookmarkStart w:id="19" w:name="P403"/>
            <w:bookmarkEnd w:id="19"/>
            <w:r>
              <w:t>2</w:t>
            </w:r>
          </w:p>
        </w:tc>
        <w:tc>
          <w:tcPr>
            <w:tcW w:w="1361" w:type="dxa"/>
          </w:tcPr>
          <w:p w:rsidR="00EA226E" w:rsidRDefault="00EA226E">
            <w:pPr>
              <w:pStyle w:val="ConsPlusNormal"/>
              <w:jc w:val="center"/>
            </w:pPr>
            <w:bookmarkStart w:id="20" w:name="P404"/>
            <w:bookmarkEnd w:id="20"/>
            <w:r>
              <w:t>3</w:t>
            </w:r>
          </w:p>
        </w:tc>
        <w:tc>
          <w:tcPr>
            <w:tcW w:w="907" w:type="dxa"/>
          </w:tcPr>
          <w:p w:rsidR="00EA226E" w:rsidRDefault="00EA226E">
            <w:pPr>
              <w:pStyle w:val="ConsPlusNormal"/>
              <w:jc w:val="center"/>
            </w:pPr>
            <w:bookmarkStart w:id="21" w:name="P405"/>
            <w:bookmarkEnd w:id="21"/>
            <w:r>
              <w:t>4</w:t>
            </w:r>
          </w:p>
        </w:tc>
        <w:tc>
          <w:tcPr>
            <w:tcW w:w="907" w:type="dxa"/>
          </w:tcPr>
          <w:p w:rsidR="00EA226E" w:rsidRDefault="00EA226E">
            <w:pPr>
              <w:pStyle w:val="ConsPlusNormal"/>
              <w:jc w:val="center"/>
            </w:pPr>
            <w:bookmarkStart w:id="22" w:name="P406"/>
            <w:bookmarkEnd w:id="22"/>
            <w:r>
              <w:t>5</w:t>
            </w:r>
          </w:p>
        </w:tc>
        <w:tc>
          <w:tcPr>
            <w:tcW w:w="1077" w:type="dxa"/>
          </w:tcPr>
          <w:p w:rsidR="00EA226E" w:rsidRDefault="00EA226E">
            <w:pPr>
              <w:pStyle w:val="ConsPlusNormal"/>
              <w:jc w:val="center"/>
            </w:pPr>
            <w:bookmarkStart w:id="23" w:name="P407"/>
            <w:bookmarkEnd w:id="23"/>
            <w:r>
              <w:t>6</w:t>
            </w:r>
          </w:p>
        </w:tc>
        <w:tc>
          <w:tcPr>
            <w:tcW w:w="1051" w:type="dxa"/>
          </w:tcPr>
          <w:p w:rsidR="00EA226E" w:rsidRDefault="00EA226E">
            <w:pPr>
              <w:pStyle w:val="ConsPlusNormal"/>
              <w:jc w:val="center"/>
            </w:pPr>
            <w:bookmarkStart w:id="24" w:name="P408"/>
            <w:bookmarkEnd w:id="24"/>
            <w:r>
              <w:t>7</w:t>
            </w:r>
          </w:p>
        </w:tc>
        <w:tc>
          <w:tcPr>
            <w:tcW w:w="1247" w:type="dxa"/>
          </w:tcPr>
          <w:p w:rsidR="00EA226E" w:rsidRDefault="00EA226E">
            <w:pPr>
              <w:pStyle w:val="ConsPlusNormal"/>
              <w:jc w:val="center"/>
            </w:pPr>
            <w:bookmarkStart w:id="25" w:name="P409"/>
            <w:bookmarkEnd w:id="25"/>
            <w:r>
              <w:t>8</w:t>
            </w:r>
          </w:p>
        </w:tc>
        <w:tc>
          <w:tcPr>
            <w:tcW w:w="1361" w:type="dxa"/>
          </w:tcPr>
          <w:p w:rsidR="00EA226E" w:rsidRDefault="00EA226E">
            <w:pPr>
              <w:pStyle w:val="ConsPlusNormal"/>
              <w:jc w:val="center"/>
            </w:pPr>
            <w:bookmarkStart w:id="26" w:name="P410"/>
            <w:bookmarkEnd w:id="26"/>
            <w:r>
              <w:t>9</w:t>
            </w:r>
          </w:p>
        </w:tc>
      </w:tr>
      <w:tr w:rsidR="00EA226E">
        <w:tc>
          <w:tcPr>
            <w:tcW w:w="10413" w:type="dxa"/>
            <w:gridSpan w:val="9"/>
          </w:tcPr>
          <w:p w:rsidR="00EA226E" w:rsidRDefault="00EA226E">
            <w:pPr>
              <w:pStyle w:val="ConsPlusNormal"/>
              <w:jc w:val="center"/>
              <w:outlineLvl w:val="2"/>
            </w:pPr>
            <w:r>
              <w:t>Направление деятельности: I. (указывается направление деятельности структурного подразделения ЦАФК, ТОФК, ФКУ "ЦОКР")</w:t>
            </w:r>
          </w:p>
        </w:tc>
      </w:tr>
      <w:tr w:rsidR="00EA226E">
        <w:tc>
          <w:tcPr>
            <w:tcW w:w="518" w:type="dxa"/>
            <w:vMerge w:val="restart"/>
          </w:tcPr>
          <w:p w:rsidR="00EA226E" w:rsidRDefault="00EA226E">
            <w:pPr>
              <w:pStyle w:val="ConsPlusNormal"/>
              <w:jc w:val="center"/>
            </w:pPr>
            <w:r>
              <w:lastRenderedPageBreak/>
              <w:t>1.</w:t>
            </w:r>
          </w:p>
        </w:tc>
        <w:tc>
          <w:tcPr>
            <w:tcW w:w="1984" w:type="dxa"/>
            <w:vMerge w:val="restart"/>
          </w:tcPr>
          <w:p w:rsidR="00EA226E" w:rsidRDefault="00EA226E">
            <w:pPr>
              <w:pStyle w:val="ConsPlusNormal"/>
            </w:pPr>
          </w:p>
        </w:tc>
        <w:tc>
          <w:tcPr>
            <w:tcW w:w="1361" w:type="dxa"/>
          </w:tcPr>
          <w:p w:rsidR="00EA226E" w:rsidRDefault="00EA226E">
            <w:pPr>
              <w:pStyle w:val="ConsPlusNormal"/>
            </w:pPr>
            <w:r>
              <w:t>1.</w:t>
            </w:r>
          </w:p>
        </w:tc>
        <w:tc>
          <w:tcPr>
            <w:tcW w:w="907" w:type="dxa"/>
          </w:tcPr>
          <w:p w:rsidR="00EA226E" w:rsidRDefault="00EA226E">
            <w:pPr>
              <w:pStyle w:val="ConsPlusNormal"/>
            </w:pPr>
          </w:p>
        </w:tc>
        <w:tc>
          <w:tcPr>
            <w:tcW w:w="907" w:type="dxa"/>
          </w:tcPr>
          <w:p w:rsidR="00EA226E" w:rsidRDefault="00EA226E">
            <w:pPr>
              <w:pStyle w:val="ConsPlusNormal"/>
            </w:pPr>
          </w:p>
        </w:tc>
        <w:tc>
          <w:tcPr>
            <w:tcW w:w="1077" w:type="dxa"/>
          </w:tcPr>
          <w:p w:rsidR="00EA226E" w:rsidRDefault="00EA226E">
            <w:pPr>
              <w:pStyle w:val="ConsPlusNormal"/>
            </w:pPr>
          </w:p>
        </w:tc>
        <w:tc>
          <w:tcPr>
            <w:tcW w:w="1051" w:type="dxa"/>
          </w:tcPr>
          <w:p w:rsidR="00EA226E" w:rsidRDefault="00EA226E">
            <w:pPr>
              <w:pStyle w:val="ConsPlusNormal"/>
            </w:pPr>
          </w:p>
        </w:tc>
        <w:tc>
          <w:tcPr>
            <w:tcW w:w="1247" w:type="dxa"/>
          </w:tcPr>
          <w:p w:rsidR="00EA226E" w:rsidRDefault="00EA226E">
            <w:pPr>
              <w:pStyle w:val="ConsPlusNormal"/>
            </w:pPr>
          </w:p>
        </w:tc>
        <w:tc>
          <w:tcPr>
            <w:tcW w:w="1361" w:type="dxa"/>
          </w:tcPr>
          <w:p w:rsidR="00EA226E" w:rsidRDefault="00EA226E">
            <w:pPr>
              <w:pStyle w:val="ConsPlusNormal"/>
            </w:pPr>
          </w:p>
        </w:tc>
      </w:tr>
      <w:tr w:rsidR="00EA226E">
        <w:tc>
          <w:tcPr>
            <w:tcW w:w="518" w:type="dxa"/>
            <w:vMerge/>
          </w:tcPr>
          <w:p w:rsidR="00EA226E" w:rsidRDefault="00EA226E"/>
        </w:tc>
        <w:tc>
          <w:tcPr>
            <w:tcW w:w="1984" w:type="dxa"/>
            <w:vMerge/>
          </w:tcPr>
          <w:p w:rsidR="00EA226E" w:rsidRDefault="00EA226E"/>
        </w:tc>
        <w:tc>
          <w:tcPr>
            <w:tcW w:w="1361" w:type="dxa"/>
          </w:tcPr>
          <w:p w:rsidR="00EA226E" w:rsidRDefault="00EA226E">
            <w:pPr>
              <w:pStyle w:val="ConsPlusNormal"/>
            </w:pPr>
            <w:r>
              <w:t>2.</w:t>
            </w:r>
          </w:p>
        </w:tc>
        <w:tc>
          <w:tcPr>
            <w:tcW w:w="907" w:type="dxa"/>
          </w:tcPr>
          <w:p w:rsidR="00EA226E" w:rsidRDefault="00EA226E">
            <w:pPr>
              <w:pStyle w:val="ConsPlusNormal"/>
            </w:pPr>
          </w:p>
        </w:tc>
        <w:tc>
          <w:tcPr>
            <w:tcW w:w="907" w:type="dxa"/>
          </w:tcPr>
          <w:p w:rsidR="00EA226E" w:rsidRDefault="00EA226E">
            <w:pPr>
              <w:pStyle w:val="ConsPlusNormal"/>
            </w:pPr>
          </w:p>
        </w:tc>
        <w:tc>
          <w:tcPr>
            <w:tcW w:w="1077" w:type="dxa"/>
          </w:tcPr>
          <w:p w:rsidR="00EA226E" w:rsidRDefault="00EA226E">
            <w:pPr>
              <w:pStyle w:val="ConsPlusNormal"/>
            </w:pPr>
          </w:p>
        </w:tc>
        <w:tc>
          <w:tcPr>
            <w:tcW w:w="1051" w:type="dxa"/>
          </w:tcPr>
          <w:p w:rsidR="00EA226E" w:rsidRDefault="00EA226E">
            <w:pPr>
              <w:pStyle w:val="ConsPlusNormal"/>
            </w:pPr>
          </w:p>
        </w:tc>
        <w:tc>
          <w:tcPr>
            <w:tcW w:w="1247" w:type="dxa"/>
          </w:tcPr>
          <w:p w:rsidR="00EA226E" w:rsidRDefault="00EA226E">
            <w:pPr>
              <w:pStyle w:val="ConsPlusNormal"/>
            </w:pPr>
          </w:p>
        </w:tc>
        <w:tc>
          <w:tcPr>
            <w:tcW w:w="1361" w:type="dxa"/>
          </w:tcPr>
          <w:p w:rsidR="00EA226E" w:rsidRDefault="00EA226E">
            <w:pPr>
              <w:pStyle w:val="ConsPlusNormal"/>
            </w:pPr>
          </w:p>
        </w:tc>
      </w:tr>
      <w:tr w:rsidR="00EA226E">
        <w:tc>
          <w:tcPr>
            <w:tcW w:w="518" w:type="dxa"/>
            <w:vMerge/>
          </w:tcPr>
          <w:p w:rsidR="00EA226E" w:rsidRDefault="00EA226E"/>
        </w:tc>
        <w:tc>
          <w:tcPr>
            <w:tcW w:w="1984" w:type="dxa"/>
            <w:vMerge/>
          </w:tcPr>
          <w:p w:rsidR="00EA226E" w:rsidRDefault="00EA226E"/>
        </w:tc>
        <w:tc>
          <w:tcPr>
            <w:tcW w:w="1361" w:type="dxa"/>
          </w:tcPr>
          <w:p w:rsidR="00EA226E" w:rsidRDefault="00EA226E">
            <w:pPr>
              <w:pStyle w:val="ConsPlusNormal"/>
            </w:pPr>
            <w:r>
              <w:t>...</w:t>
            </w:r>
          </w:p>
        </w:tc>
        <w:tc>
          <w:tcPr>
            <w:tcW w:w="907" w:type="dxa"/>
          </w:tcPr>
          <w:p w:rsidR="00EA226E" w:rsidRDefault="00EA226E">
            <w:pPr>
              <w:pStyle w:val="ConsPlusNormal"/>
            </w:pPr>
          </w:p>
        </w:tc>
        <w:tc>
          <w:tcPr>
            <w:tcW w:w="907" w:type="dxa"/>
          </w:tcPr>
          <w:p w:rsidR="00EA226E" w:rsidRDefault="00EA226E">
            <w:pPr>
              <w:pStyle w:val="ConsPlusNormal"/>
            </w:pPr>
          </w:p>
        </w:tc>
        <w:tc>
          <w:tcPr>
            <w:tcW w:w="1077" w:type="dxa"/>
          </w:tcPr>
          <w:p w:rsidR="00EA226E" w:rsidRDefault="00EA226E">
            <w:pPr>
              <w:pStyle w:val="ConsPlusNormal"/>
            </w:pPr>
          </w:p>
        </w:tc>
        <w:tc>
          <w:tcPr>
            <w:tcW w:w="1051" w:type="dxa"/>
          </w:tcPr>
          <w:p w:rsidR="00EA226E" w:rsidRDefault="00EA226E">
            <w:pPr>
              <w:pStyle w:val="ConsPlusNormal"/>
            </w:pPr>
          </w:p>
        </w:tc>
        <w:tc>
          <w:tcPr>
            <w:tcW w:w="1247" w:type="dxa"/>
          </w:tcPr>
          <w:p w:rsidR="00EA226E" w:rsidRDefault="00EA226E">
            <w:pPr>
              <w:pStyle w:val="ConsPlusNormal"/>
            </w:pPr>
          </w:p>
        </w:tc>
        <w:tc>
          <w:tcPr>
            <w:tcW w:w="1361" w:type="dxa"/>
          </w:tcPr>
          <w:p w:rsidR="00EA226E" w:rsidRDefault="00EA226E">
            <w:pPr>
              <w:pStyle w:val="ConsPlusNormal"/>
            </w:pPr>
          </w:p>
        </w:tc>
      </w:tr>
      <w:tr w:rsidR="00EA226E">
        <w:tc>
          <w:tcPr>
            <w:tcW w:w="518" w:type="dxa"/>
            <w:vMerge w:val="restart"/>
          </w:tcPr>
          <w:p w:rsidR="00EA226E" w:rsidRDefault="00EA226E">
            <w:pPr>
              <w:pStyle w:val="ConsPlusNormal"/>
              <w:jc w:val="center"/>
            </w:pPr>
            <w:r>
              <w:t>2.</w:t>
            </w:r>
          </w:p>
        </w:tc>
        <w:tc>
          <w:tcPr>
            <w:tcW w:w="1984" w:type="dxa"/>
            <w:vMerge w:val="restart"/>
          </w:tcPr>
          <w:p w:rsidR="00EA226E" w:rsidRDefault="00EA226E">
            <w:pPr>
              <w:pStyle w:val="ConsPlusNormal"/>
            </w:pPr>
          </w:p>
        </w:tc>
        <w:tc>
          <w:tcPr>
            <w:tcW w:w="1361" w:type="dxa"/>
          </w:tcPr>
          <w:p w:rsidR="00EA226E" w:rsidRDefault="00EA226E">
            <w:pPr>
              <w:pStyle w:val="ConsPlusNormal"/>
            </w:pPr>
            <w:r>
              <w:t>1.</w:t>
            </w:r>
          </w:p>
        </w:tc>
        <w:tc>
          <w:tcPr>
            <w:tcW w:w="907" w:type="dxa"/>
          </w:tcPr>
          <w:p w:rsidR="00EA226E" w:rsidRDefault="00EA226E">
            <w:pPr>
              <w:pStyle w:val="ConsPlusNormal"/>
            </w:pPr>
          </w:p>
        </w:tc>
        <w:tc>
          <w:tcPr>
            <w:tcW w:w="907" w:type="dxa"/>
          </w:tcPr>
          <w:p w:rsidR="00EA226E" w:rsidRDefault="00EA226E">
            <w:pPr>
              <w:pStyle w:val="ConsPlusNormal"/>
            </w:pPr>
          </w:p>
        </w:tc>
        <w:tc>
          <w:tcPr>
            <w:tcW w:w="1077" w:type="dxa"/>
          </w:tcPr>
          <w:p w:rsidR="00EA226E" w:rsidRDefault="00EA226E">
            <w:pPr>
              <w:pStyle w:val="ConsPlusNormal"/>
            </w:pPr>
          </w:p>
        </w:tc>
        <w:tc>
          <w:tcPr>
            <w:tcW w:w="1051" w:type="dxa"/>
          </w:tcPr>
          <w:p w:rsidR="00EA226E" w:rsidRDefault="00EA226E">
            <w:pPr>
              <w:pStyle w:val="ConsPlusNormal"/>
            </w:pPr>
          </w:p>
        </w:tc>
        <w:tc>
          <w:tcPr>
            <w:tcW w:w="1247" w:type="dxa"/>
          </w:tcPr>
          <w:p w:rsidR="00EA226E" w:rsidRDefault="00EA226E">
            <w:pPr>
              <w:pStyle w:val="ConsPlusNormal"/>
            </w:pPr>
          </w:p>
        </w:tc>
        <w:tc>
          <w:tcPr>
            <w:tcW w:w="1361" w:type="dxa"/>
          </w:tcPr>
          <w:p w:rsidR="00EA226E" w:rsidRDefault="00EA226E">
            <w:pPr>
              <w:pStyle w:val="ConsPlusNormal"/>
            </w:pPr>
          </w:p>
        </w:tc>
      </w:tr>
      <w:tr w:rsidR="00EA226E">
        <w:tc>
          <w:tcPr>
            <w:tcW w:w="518" w:type="dxa"/>
            <w:vMerge/>
          </w:tcPr>
          <w:p w:rsidR="00EA226E" w:rsidRDefault="00EA226E"/>
        </w:tc>
        <w:tc>
          <w:tcPr>
            <w:tcW w:w="1984" w:type="dxa"/>
            <w:vMerge/>
          </w:tcPr>
          <w:p w:rsidR="00EA226E" w:rsidRDefault="00EA226E"/>
        </w:tc>
        <w:tc>
          <w:tcPr>
            <w:tcW w:w="1361" w:type="dxa"/>
          </w:tcPr>
          <w:p w:rsidR="00EA226E" w:rsidRDefault="00EA226E">
            <w:pPr>
              <w:pStyle w:val="ConsPlusNormal"/>
            </w:pPr>
            <w:r>
              <w:t>2.</w:t>
            </w:r>
          </w:p>
        </w:tc>
        <w:tc>
          <w:tcPr>
            <w:tcW w:w="907" w:type="dxa"/>
          </w:tcPr>
          <w:p w:rsidR="00EA226E" w:rsidRDefault="00EA226E">
            <w:pPr>
              <w:pStyle w:val="ConsPlusNormal"/>
            </w:pPr>
          </w:p>
        </w:tc>
        <w:tc>
          <w:tcPr>
            <w:tcW w:w="907" w:type="dxa"/>
          </w:tcPr>
          <w:p w:rsidR="00EA226E" w:rsidRDefault="00EA226E">
            <w:pPr>
              <w:pStyle w:val="ConsPlusNormal"/>
            </w:pPr>
          </w:p>
        </w:tc>
        <w:tc>
          <w:tcPr>
            <w:tcW w:w="1077" w:type="dxa"/>
          </w:tcPr>
          <w:p w:rsidR="00EA226E" w:rsidRDefault="00EA226E">
            <w:pPr>
              <w:pStyle w:val="ConsPlusNormal"/>
            </w:pPr>
          </w:p>
        </w:tc>
        <w:tc>
          <w:tcPr>
            <w:tcW w:w="1051" w:type="dxa"/>
          </w:tcPr>
          <w:p w:rsidR="00EA226E" w:rsidRDefault="00EA226E">
            <w:pPr>
              <w:pStyle w:val="ConsPlusNormal"/>
            </w:pPr>
          </w:p>
        </w:tc>
        <w:tc>
          <w:tcPr>
            <w:tcW w:w="1247" w:type="dxa"/>
          </w:tcPr>
          <w:p w:rsidR="00EA226E" w:rsidRDefault="00EA226E">
            <w:pPr>
              <w:pStyle w:val="ConsPlusNormal"/>
            </w:pPr>
          </w:p>
        </w:tc>
        <w:tc>
          <w:tcPr>
            <w:tcW w:w="1361" w:type="dxa"/>
          </w:tcPr>
          <w:p w:rsidR="00EA226E" w:rsidRDefault="00EA226E">
            <w:pPr>
              <w:pStyle w:val="ConsPlusNormal"/>
            </w:pPr>
          </w:p>
        </w:tc>
      </w:tr>
      <w:tr w:rsidR="00EA226E">
        <w:tc>
          <w:tcPr>
            <w:tcW w:w="518" w:type="dxa"/>
            <w:vMerge/>
          </w:tcPr>
          <w:p w:rsidR="00EA226E" w:rsidRDefault="00EA226E"/>
        </w:tc>
        <w:tc>
          <w:tcPr>
            <w:tcW w:w="1984" w:type="dxa"/>
            <w:vMerge/>
          </w:tcPr>
          <w:p w:rsidR="00EA226E" w:rsidRDefault="00EA226E"/>
        </w:tc>
        <w:tc>
          <w:tcPr>
            <w:tcW w:w="1361" w:type="dxa"/>
          </w:tcPr>
          <w:p w:rsidR="00EA226E" w:rsidRDefault="00EA226E">
            <w:pPr>
              <w:pStyle w:val="ConsPlusNormal"/>
            </w:pPr>
            <w:r>
              <w:t>...</w:t>
            </w:r>
          </w:p>
        </w:tc>
        <w:tc>
          <w:tcPr>
            <w:tcW w:w="907" w:type="dxa"/>
          </w:tcPr>
          <w:p w:rsidR="00EA226E" w:rsidRDefault="00EA226E">
            <w:pPr>
              <w:pStyle w:val="ConsPlusNormal"/>
            </w:pPr>
          </w:p>
        </w:tc>
        <w:tc>
          <w:tcPr>
            <w:tcW w:w="907" w:type="dxa"/>
          </w:tcPr>
          <w:p w:rsidR="00EA226E" w:rsidRDefault="00EA226E">
            <w:pPr>
              <w:pStyle w:val="ConsPlusNormal"/>
            </w:pPr>
          </w:p>
        </w:tc>
        <w:tc>
          <w:tcPr>
            <w:tcW w:w="1077" w:type="dxa"/>
          </w:tcPr>
          <w:p w:rsidR="00EA226E" w:rsidRDefault="00EA226E">
            <w:pPr>
              <w:pStyle w:val="ConsPlusNormal"/>
            </w:pPr>
          </w:p>
        </w:tc>
        <w:tc>
          <w:tcPr>
            <w:tcW w:w="1051" w:type="dxa"/>
          </w:tcPr>
          <w:p w:rsidR="00EA226E" w:rsidRDefault="00EA226E">
            <w:pPr>
              <w:pStyle w:val="ConsPlusNormal"/>
            </w:pPr>
          </w:p>
        </w:tc>
        <w:tc>
          <w:tcPr>
            <w:tcW w:w="1247" w:type="dxa"/>
          </w:tcPr>
          <w:p w:rsidR="00EA226E" w:rsidRDefault="00EA226E">
            <w:pPr>
              <w:pStyle w:val="ConsPlusNormal"/>
            </w:pPr>
          </w:p>
        </w:tc>
        <w:tc>
          <w:tcPr>
            <w:tcW w:w="1361" w:type="dxa"/>
          </w:tcPr>
          <w:p w:rsidR="00EA226E" w:rsidRDefault="00EA226E">
            <w:pPr>
              <w:pStyle w:val="ConsPlusNormal"/>
            </w:pPr>
          </w:p>
        </w:tc>
      </w:tr>
      <w:tr w:rsidR="00EA226E">
        <w:tc>
          <w:tcPr>
            <w:tcW w:w="518" w:type="dxa"/>
          </w:tcPr>
          <w:p w:rsidR="00EA226E" w:rsidRDefault="00EA226E">
            <w:pPr>
              <w:pStyle w:val="ConsPlusNormal"/>
              <w:jc w:val="center"/>
            </w:pPr>
            <w:r>
              <w:t>...</w:t>
            </w:r>
          </w:p>
        </w:tc>
        <w:tc>
          <w:tcPr>
            <w:tcW w:w="1984" w:type="dxa"/>
          </w:tcPr>
          <w:p w:rsidR="00EA226E" w:rsidRDefault="00EA226E">
            <w:pPr>
              <w:pStyle w:val="ConsPlusNormal"/>
            </w:pPr>
          </w:p>
        </w:tc>
        <w:tc>
          <w:tcPr>
            <w:tcW w:w="1361" w:type="dxa"/>
          </w:tcPr>
          <w:p w:rsidR="00EA226E" w:rsidRDefault="00EA226E">
            <w:pPr>
              <w:pStyle w:val="ConsPlusNormal"/>
            </w:pPr>
          </w:p>
        </w:tc>
        <w:tc>
          <w:tcPr>
            <w:tcW w:w="907" w:type="dxa"/>
          </w:tcPr>
          <w:p w:rsidR="00EA226E" w:rsidRDefault="00EA226E">
            <w:pPr>
              <w:pStyle w:val="ConsPlusNormal"/>
            </w:pPr>
          </w:p>
        </w:tc>
        <w:tc>
          <w:tcPr>
            <w:tcW w:w="907" w:type="dxa"/>
          </w:tcPr>
          <w:p w:rsidR="00EA226E" w:rsidRDefault="00EA226E">
            <w:pPr>
              <w:pStyle w:val="ConsPlusNormal"/>
            </w:pPr>
          </w:p>
        </w:tc>
        <w:tc>
          <w:tcPr>
            <w:tcW w:w="1077" w:type="dxa"/>
          </w:tcPr>
          <w:p w:rsidR="00EA226E" w:rsidRDefault="00EA226E">
            <w:pPr>
              <w:pStyle w:val="ConsPlusNormal"/>
            </w:pPr>
          </w:p>
        </w:tc>
        <w:tc>
          <w:tcPr>
            <w:tcW w:w="1051" w:type="dxa"/>
          </w:tcPr>
          <w:p w:rsidR="00EA226E" w:rsidRDefault="00EA226E">
            <w:pPr>
              <w:pStyle w:val="ConsPlusNormal"/>
            </w:pPr>
          </w:p>
        </w:tc>
        <w:tc>
          <w:tcPr>
            <w:tcW w:w="1247" w:type="dxa"/>
          </w:tcPr>
          <w:p w:rsidR="00EA226E" w:rsidRDefault="00EA226E">
            <w:pPr>
              <w:pStyle w:val="ConsPlusNormal"/>
            </w:pPr>
          </w:p>
        </w:tc>
        <w:tc>
          <w:tcPr>
            <w:tcW w:w="1361" w:type="dxa"/>
          </w:tcPr>
          <w:p w:rsidR="00EA226E" w:rsidRDefault="00EA226E">
            <w:pPr>
              <w:pStyle w:val="ConsPlusNormal"/>
            </w:pPr>
          </w:p>
        </w:tc>
      </w:tr>
      <w:tr w:rsidR="00EA226E">
        <w:tc>
          <w:tcPr>
            <w:tcW w:w="10413" w:type="dxa"/>
            <w:gridSpan w:val="9"/>
          </w:tcPr>
          <w:p w:rsidR="00EA226E" w:rsidRDefault="00EA226E">
            <w:pPr>
              <w:pStyle w:val="ConsPlusNormal"/>
              <w:jc w:val="center"/>
              <w:outlineLvl w:val="2"/>
            </w:pPr>
            <w:r>
              <w:t>Направление деятельности: II. (указывается направление деятельности структурного подразделения ЦАФК ТОФК, ФКУ "ЦОКР")</w:t>
            </w:r>
          </w:p>
        </w:tc>
      </w:tr>
      <w:tr w:rsidR="00EA226E">
        <w:tc>
          <w:tcPr>
            <w:tcW w:w="518" w:type="dxa"/>
          </w:tcPr>
          <w:p w:rsidR="00EA226E" w:rsidRDefault="00EA226E">
            <w:pPr>
              <w:pStyle w:val="ConsPlusNormal"/>
              <w:jc w:val="center"/>
            </w:pPr>
            <w:r>
              <w:t>...</w:t>
            </w:r>
          </w:p>
        </w:tc>
        <w:tc>
          <w:tcPr>
            <w:tcW w:w="3345" w:type="dxa"/>
            <w:gridSpan w:val="2"/>
          </w:tcPr>
          <w:p w:rsidR="00EA226E" w:rsidRDefault="00EA226E">
            <w:pPr>
              <w:pStyle w:val="ConsPlusNormal"/>
            </w:pPr>
          </w:p>
        </w:tc>
        <w:tc>
          <w:tcPr>
            <w:tcW w:w="907" w:type="dxa"/>
          </w:tcPr>
          <w:p w:rsidR="00EA226E" w:rsidRDefault="00EA226E">
            <w:pPr>
              <w:pStyle w:val="ConsPlusNormal"/>
            </w:pPr>
          </w:p>
        </w:tc>
        <w:tc>
          <w:tcPr>
            <w:tcW w:w="907" w:type="dxa"/>
          </w:tcPr>
          <w:p w:rsidR="00EA226E" w:rsidRDefault="00EA226E">
            <w:pPr>
              <w:pStyle w:val="ConsPlusNormal"/>
            </w:pPr>
          </w:p>
        </w:tc>
        <w:tc>
          <w:tcPr>
            <w:tcW w:w="1077" w:type="dxa"/>
          </w:tcPr>
          <w:p w:rsidR="00EA226E" w:rsidRDefault="00EA226E">
            <w:pPr>
              <w:pStyle w:val="ConsPlusNormal"/>
            </w:pPr>
          </w:p>
        </w:tc>
        <w:tc>
          <w:tcPr>
            <w:tcW w:w="1051" w:type="dxa"/>
          </w:tcPr>
          <w:p w:rsidR="00EA226E" w:rsidRDefault="00EA226E">
            <w:pPr>
              <w:pStyle w:val="ConsPlusNormal"/>
            </w:pPr>
          </w:p>
        </w:tc>
        <w:tc>
          <w:tcPr>
            <w:tcW w:w="2608" w:type="dxa"/>
            <w:gridSpan w:val="2"/>
          </w:tcPr>
          <w:p w:rsidR="00EA226E" w:rsidRDefault="00EA226E">
            <w:pPr>
              <w:pStyle w:val="ConsPlusNormal"/>
            </w:pPr>
          </w:p>
        </w:tc>
      </w:tr>
    </w:tbl>
    <w:p w:rsidR="00EA226E" w:rsidRDefault="00EA226E">
      <w:pPr>
        <w:sectPr w:rsidR="00EA226E">
          <w:pgSz w:w="16838" w:h="11905" w:orient="landscape"/>
          <w:pgMar w:top="1701" w:right="1134" w:bottom="850" w:left="1134" w:header="0" w:footer="0" w:gutter="0"/>
          <w:cols w:space="720"/>
        </w:sectPr>
      </w:pPr>
    </w:p>
    <w:p w:rsidR="00EA226E" w:rsidRDefault="00EA226E">
      <w:pPr>
        <w:pStyle w:val="ConsPlusNormal"/>
        <w:jc w:val="both"/>
      </w:pPr>
    </w:p>
    <w:p w:rsidR="00EA226E" w:rsidRDefault="00EA226E">
      <w:pPr>
        <w:pStyle w:val="ConsPlusNonformat"/>
        <w:jc w:val="both"/>
      </w:pPr>
      <w:r>
        <w:t>Начальник структурного подразделения     _________   ______________________</w:t>
      </w:r>
    </w:p>
    <w:p w:rsidR="00EA226E" w:rsidRDefault="00EA226E">
      <w:pPr>
        <w:pStyle w:val="ConsPlusNonformat"/>
        <w:jc w:val="both"/>
      </w:pPr>
      <w:r>
        <w:t>(иное уполномоченное лицо)               (подпись)   (расшифровка подписи)</w:t>
      </w:r>
    </w:p>
    <w:p w:rsidR="00EA226E" w:rsidRDefault="00EA226E">
      <w:pPr>
        <w:pStyle w:val="ConsPlusNonformat"/>
        <w:jc w:val="both"/>
      </w:pPr>
    </w:p>
    <w:p w:rsidR="00EA226E" w:rsidRDefault="00EA226E">
      <w:pPr>
        <w:pStyle w:val="ConsPlusNonformat"/>
        <w:jc w:val="both"/>
      </w:pPr>
      <w:r>
        <w:t xml:space="preserve">                                                    "__" __________ 20__ г.</w:t>
      </w:r>
    </w:p>
    <w:p w:rsidR="00EA226E" w:rsidRDefault="00EA226E">
      <w:pPr>
        <w:pStyle w:val="ConsPlusNormal"/>
        <w:jc w:val="both"/>
      </w:pPr>
    </w:p>
    <w:p w:rsidR="00EA226E" w:rsidRDefault="00EA226E">
      <w:pPr>
        <w:pStyle w:val="ConsPlusNormal"/>
        <w:jc w:val="center"/>
        <w:outlineLvl w:val="2"/>
      </w:pPr>
      <w:r>
        <w:t>Указания</w:t>
      </w:r>
    </w:p>
    <w:p w:rsidR="00EA226E" w:rsidRDefault="00EA226E">
      <w:pPr>
        <w:pStyle w:val="ConsPlusNormal"/>
        <w:jc w:val="center"/>
      </w:pPr>
      <w:r>
        <w:t>по заполнению формы "Реестр внутренних рисков"</w:t>
      </w:r>
    </w:p>
    <w:p w:rsidR="00EA226E" w:rsidRDefault="00EA226E">
      <w:pPr>
        <w:pStyle w:val="ConsPlusNormal"/>
        <w:jc w:val="both"/>
      </w:pPr>
    </w:p>
    <w:p w:rsidR="00EA226E" w:rsidRDefault="00EA226E">
      <w:pPr>
        <w:pStyle w:val="ConsPlusNormal"/>
        <w:ind w:firstLine="540"/>
        <w:jc w:val="both"/>
      </w:pPr>
      <w:r>
        <w:t xml:space="preserve">1. В </w:t>
      </w:r>
      <w:hyperlink w:anchor="P388" w:history="1">
        <w:r>
          <w:rPr>
            <w:color w:val="0000FF"/>
          </w:rPr>
          <w:t>заголовочной части</w:t>
        </w:r>
      </w:hyperlink>
      <w:r>
        <w:t xml:space="preserve"> формы указывается полное наименование структурного подразделения центрального аппарата Федерального казначейства, территориального органа Федерального казначейства, федерального казенного учреждения "Центр по обеспечению деятельности Казначейства России", отчетный период.</w:t>
      </w:r>
    </w:p>
    <w:p w:rsidR="00EA226E" w:rsidRDefault="00EA226E">
      <w:pPr>
        <w:pStyle w:val="ConsPlusNormal"/>
        <w:spacing w:before="220"/>
        <w:ind w:firstLine="540"/>
        <w:jc w:val="both"/>
      </w:pPr>
      <w:r>
        <w:t xml:space="preserve">2. В </w:t>
      </w:r>
      <w:hyperlink w:anchor="P402" w:history="1">
        <w:r>
          <w:rPr>
            <w:color w:val="0000FF"/>
          </w:rPr>
          <w:t>графе 1</w:t>
        </w:r>
      </w:hyperlink>
      <w:r>
        <w:t xml:space="preserve"> формы указывается порядковый номер операции, действия (в том числе по формированию документов), подверженных риску.</w:t>
      </w:r>
    </w:p>
    <w:p w:rsidR="00EA226E" w:rsidRDefault="00EA226E">
      <w:pPr>
        <w:pStyle w:val="ConsPlusNormal"/>
        <w:spacing w:before="220"/>
        <w:ind w:firstLine="540"/>
        <w:jc w:val="both"/>
      </w:pPr>
      <w:r>
        <w:t xml:space="preserve">3. В </w:t>
      </w:r>
      <w:hyperlink w:anchor="P403" w:history="1">
        <w:r>
          <w:rPr>
            <w:color w:val="0000FF"/>
          </w:rPr>
          <w:t>графе 2</w:t>
        </w:r>
      </w:hyperlink>
      <w:r>
        <w:t xml:space="preserve"> формы указывается наименование операции, действия (в том числе по формированию документов), подверженных риску.</w:t>
      </w:r>
    </w:p>
    <w:p w:rsidR="00EA226E" w:rsidRDefault="00EA226E">
      <w:pPr>
        <w:pStyle w:val="ConsPlusNormal"/>
        <w:spacing w:before="220"/>
        <w:ind w:firstLine="540"/>
        <w:jc w:val="both"/>
      </w:pPr>
      <w:r>
        <w:t xml:space="preserve">4. В </w:t>
      </w:r>
      <w:hyperlink w:anchor="P404" w:history="1">
        <w:r>
          <w:rPr>
            <w:color w:val="0000FF"/>
          </w:rPr>
          <w:t>графе 3</w:t>
        </w:r>
      </w:hyperlink>
      <w:r>
        <w:t xml:space="preserve"> формы указывается наименование риска в соответствии с действующим на дату выявления риска Классификатором внутренних (операционных) казначейских рисков по направлениям деятельности территориальных органов Федерального казначейства. Для каждой операции, действия (в том числе по формированию документов) указывается не менее двух рисков.</w:t>
      </w:r>
    </w:p>
    <w:p w:rsidR="00EA226E" w:rsidRDefault="00EA226E">
      <w:pPr>
        <w:pStyle w:val="ConsPlusNormal"/>
        <w:spacing w:before="220"/>
        <w:ind w:firstLine="540"/>
        <w:jc w:val="both"/>
      </w:pPr>
      <w:r>
        <w:t xml:space="preserve">5. В </w:t>
      </w:r>
      <w:hyperlink w:anchor="P405" w:history="1">
        <w:r>
          <w:rPr>
            <w:color w:val="0000FF"/>
          </w:rPr>
          <w:t>графе 4</w:t>
        </w:r>
      </w:hyperlink>
      <w:r>
        <w:t xml:space="preserve"> формы указывается код риска в соответствии с действующим на дату выявления риска Классификатором внутренних (операционных) казначейских рисков по направлениям деятельности территориальных органов Федерального казначейства.</w:t>
      </w:r>
    </w:p>
    <w:p w:rsidR="00EA226E" w:rsidRDefault="00EA226E">
      <w:pPr>
        <w:pStyle w:val="ConsPlusNormal"/>
        <w:spacing w:before="220"/>
        <w:ind w:firstLine="540"/>
        <w:jc w:val="both"/>
      </w:pPr>
      <w:r>
        <w:t>В случае заполнения формы структурным подразделением центрального аппарата Федерального казначейства, казенным учреждением код риска не указывается.</w:t>
      </w:r>
    </w:p>
    <w:p w:rsidR="00EA226E" w:rsidRDefault="00EA226E">
      <w:pPr>
        <w:pStyle w:val="ConsPlusNormal"/>
        <w:spacing w:before="220"/>
        <w:ind w:firstLine="540"/>
        <w:jc w:val="both"/>
      </w:pPr>
      <w:r>
        <w:t xml:space="preserve">6. В </w:t>
      </w:r>
      <w:hyperlink w:anchor="P406" w:history="1">
        <w:r>
          <w:rPr>
            <w:color w:val="0000FF"/>
          </w:rPr>
          <w:t>графе 5</w:t>
        </w:r>
      </w:hyperlink>
      <w:r>
        <w:t xml:space="preserve"> формы указывается значимость риска (в единицах).</w:t>
      </w:r>
    </w:p>
    <w:p w:rsidR="00EA226E" w:rsidRDefault="00EA226E">
      <w:pPr>
        <w:pStyle w:val="ConsPlusNormal"/>
        <w:spacing w:before="220"/>
        <w:ind w:firstLine="540"/>
        <w:jc w:val="both"/>
      </w:pPr>
      <w:r>
        <w:t xml:space="preserve">7. В </w:t>
      </w:r>
      <w:hyperlink w:anchor="P407" w:history="1">
        <w:r>
          <w:rPr>
            <w:color w:val="0000FF"/>
          </w:rPr>
          <w:t>графе 6</w:t>
        </w:r>
      </w:hyperlink>
      <w:r>
        <w:t xml:space="preserve"> формы указывается вероятность реализации риска.</w:t>
      </w:r>
    </w:p>
    <w:p w:rsidR="00EA226E" w:rsidRDefault="00EA226E">
      <w:pPr>
        <w:pStyle w:val="ConsPlusNormal"/>
        <w:spacing w:before="220"/>
        <w:ind w:firstLine="540"/>
        <w:jc w:val="both"/>
      </w:pPr>
      <w:r>
        <w:t xml:space="preserve">8. В </w:t>
      </w:r>
      <w:hyperlink w:anchor="P408" w:history="1">
        <w:r>
          <w:rPr>
            <w:color w:val="0000FF"/>
          </w:rPr>
          <w:t>графе 7</w:t>
        </w:r>
      </w:hyperlink>
      <w:r>
        <w:t xml:space="preserve"> формы указывается уровень риска.</w:t>
      </w:r>
    </w:p>
    <w:p w:rsidR="00EA226E" w:rsidRDefault="00EA226E">
      <w:pPr>
        <w:pStyle w:val="ConsPlusNormal"/>
        <w:spacing w:before="220"/>
        <w:ind w:firstLine="540"/>
        <w:jc w:val="both"/>
      </w:pPr>
      <w:r>
        <w:t xml:space="preserve">9. В </w:t>
      </w:r>
      <w:hyperlink w:anchor="P409" w:history="1">
        <w:r>
          <w:rPr>
            <w:color w:val="0000FF"/>
          </w:rPr>
          <w:t>графе 8</w:t>
        </w:r>
      </w:hyperlink>
      <w:r>
        <w:t xml:space="preserve"> формы указывается способ реагирования на внутренний риск.</w:t>
      </w:r>
    </w:p>
    <w:p w:rsidR="00EA226E" w:rsidRDefault="00EA226E">
      <w:pPr>
        <w:pStyle w:val="ConsPlusNormal"/>
        <w:spacing w:before="220"/>
        <w:ind w:firstLine="540"/>
        <w:jc w:val="both"/>
      </w:pPr>
      <w:r>
        <w:t xml:space="preserve">10. В </w:t>
      </w:r>
      <w:hyperlink w:anchor="P410" w:history="1">
        <w:r>
          <w:rPr>
            <w:color w:val="0000FF"/>
          </w:rPr>
          <w:t>графе 9</w:t>
        </w:r>
      </w:hyperlink>
      <w:r>
        <w:t xml:space="preserve"> формы указывается краткое описание мер, планируемых для снижения внутренних рисков (для способов реагирования на риск "избежание внутреннего риска", "контроль (снижение) внутреннего риска").</w:t>
      </w:r>
    </w:p>
    <w:p w:rsidR="00EA226E" w:rsidRDefault="00EA226E">
      <w:pPr>
        <w:pStyle w:val="ConsPlusNormal"/>
        <w:jc w:val="both"/>
      </w:pPr>
    </w:p>
    <w:p w:rsidR="00EA226E" w:rsidRDefault="00EA226E">
      <w:pPr>
        <w:pStyle w:val="ConsPlusNormal"/>
        <w:jc w:val="both"/>
      </w:pPr>
    </w:p>
    <w:p w:rsidR="00EA226E" w:rsidRDefault="00EA226E">
      <w:pPr>
        <w:pStyle w:val="ConsPlusNormal"/>
        <w:jc w:val="both"/>
      </w:pPr>
    </w:p>
    <w:p w:rsidR="00EA226E" w:rsidRDefault="00EA226E">
      <w:pPr>
        <w:pStyle w:val="ConsPlusNormal"/>
        <w:jc w:val="both"/>
      </w:pPr>
    </w:p>
    <w:p w:rsidR="00EA226E" w:rsidRDefault="00EA226E">
      <w:pPr>
        <w:pStyle w:val="ConsPlusNormal"/>
        <w:jc w:val="both"/>
      </w:pPr>
    </w:p>
    <w:p w:rsidR="00EA226E" w:rsidRDefault="00EA226E">
      <w:pPr>
        <w:pStyle w:val="ConsPlusNormal"/>
        <w:jc w:val="right"/>
        <w:outlineLvl w:val="1"/>
      </w:pPr>
      <w:r>
        <w:t>Приложение N 3</w:t>
      </w:r>
    </w:p>
    <w:p w:rsidR="00EA226E" w:rsidRDefault="00EA226E">
      <w:pPr>
        <w:pStyle w:val="ConsPlusNormal"/>
        <w:jc w:val="right"/>
      </w:pPr>
      <w:r>
        <w:t xml:space="preserve">к Стандарту управления </w:t>
      </w:r>
      <w:proofErr w:type="gramStart"/>
      <w:r>
        <w:t>внутренними</w:t>
      </w:r>
      <w:proofErr w:type="gramEnd"/>
    </w:p>
    <w:p w:rsidR="00EA226E" w:rsidRDefault="00EA226E">
      <w:pPr>
        <w:pStyle w:val="ConsPlusNormal"/>
        <w:jc w:val="right"/>
      </w:pPr>
      <w:r>
        <w:t>(операционными) казначейскими рисками</w:t>
      </w:r>
    </w:p>
    <w:p w:rsidR="00EA226E" w:rsidRDefault="00EA226E">
      <w:pPr>
        <w:pStyle w:val="ConsPlusNormal"/>
        <w:jc w:val="right"/>
      </w:pPr>
      <w:r>
        <w:t>в Федеральном казначействе</w:t>
      </w:r>
    </w:p>
    <w:p w:rsidR="00EA226E" w:rsidRDefault="00EA226E">
      <w:pPr>
        <w:pStyle w:val="ConsPlusNormal"/>
        <w:jc w:val="both"/>
      </w:pPr>
    </w:p>
    <w:p w:rsidR="00EA226E" w:rsidRDefault="00EA226E">
      <w:pPr>
        <w:pStyle w:val="ConsPlusNormal"/>
        <w:jc w:val="center"/>
      </w:pPr>
      <w:bookmarkStart w:id="27" w:name="P505"/>
      <w:bookmarkEnd w:id="27"/>
      <w:r>
        <w:t>ФОРМА ОТЧЕТА О РЕЗУЛЬТАТАХ УПРАВЛЕНИЯ ВНУТРЕННИМИ РИСКАМИ</w:t>
      </w:r>
    </w:p>
    <w:p w:rsidR="00EA226E" w:rsidRDefault="00EA226E">
      <w:pPr>
        <w:pStyle w:val="ConsPlusNormal"/>
        <w:jc w:val="both"/>
      </w:pPr>
    </w:p>
    <w:p w:rsidR="00EA226E" w:rsidRDefault="00EA226E">
      <w:pPr>
        <w:pStyle w:val="ConsPlusNonformat"/>
        <w:jc w:val="both"/>
      </w:pPr>
      <w:r>
        <w:lastRenderedPageBreak/>
        <w:t xml:space="preserve">                                                  УТВЕРЖДАЮ</w:t>
      </w:r>
    </w:p>
    <w:p w:rsidR="00EA226E" w:rsidRDefault="00EA226E">
      <w:pPr>
        <w:pStyle w:val="ConsPlusNonformat"/>
        <w:jc w:val="both"/>
      </w:pPr>
      <w:r>
        <w:t xml:space="preserve">                                    Руководитель (заместитель руководителя)</w:t>
      </w:r>
    </w:p>
    <w:p w:rsidR="00EA226E" w:rsidRDefault="00EA226E">
      <w:pPr>
        <w:pStyle w:val="ConsPlusNonformat"/>
        <w:jc w:val="both"/>
      </w:pPr>
      <w:r>
        <w:t xml:space="preserve">                                       органа Федерального казначейства</w:t>
      </w:r>
    </w:p>
    <w:p w:rsidR="00EA226E" w:rsidRDefault="00EA226E">
      <w:pPr>
        <w:pStyle w:val="ConsPlusNonformat"/>
        <w:jc w:val="both"/>
      </w:pPr>
      <w:r>
        <w:t xml:space="preserve">                                       </w:t>
      </w:r>
      <w:proofErr w:type="gramStart"/>
      <w:r>
        <w:t>(директор (заместитель директора)</w:t>
      </w:r>
      <w:proofErr w:type="gramEnd"/>
    </w:p>
    <w:p w:rsidR="00EA226E" w:rsidRDefault="00EA226E">
      <w:pPr>
        <w:pStyle w:val="ConsPlusNonformat"/>
        <w:jc w:val="both"/>
      </w:pPr>
      <w:r>
        <w:t xml:space="preserve">                                       федерального казенного учреждения</w:t>
      </w:r>
    </w:p>
    <w:p w:rsidR="00EA226E" w:rsidRDefault="00EA226E">
      <w:pPr>
        <w:pStyle w:val="ConsPlusNonformat"/>
        <w:jc w:val="both"/>
      </w:pPr>
      <w:r>
        <w:t xml:space="preserve">                                      "Центр по обеспечению деятельности</w:t>
      </w:r>
    </w:p>
    <w:p w:rsidR="00EA226E" w:rsidRDefault="00EA226E">
      <w:pPr>
        <w:pStyle w:val="ConsPlusNonformat"/>
        <w:jc w:val="both"/>
      </w:pPr>
      <w:r>
        <w:t xml:space="preserve">                                              Казначейства России"</w:t>
      </w:r>
    </w:p>
    <w:p w:rsidR="00EA226E" w:rsidRDefault="00EA226E">
      <w:pPr>
        <w:pStyle w:val="ConsPlusNonformat"/>
        <w:jc w:val="both"/>
      </w:pPr>
      <w:r>
        <w:t xml:space="preserve">                                    _________       _______________________</w:t>
      </w:r>
    </w:p>
    <w:p w:rsidR="00EA226E" w:rsidRDefault="00EA226E">
      <w:pPr>
        <w:pStyle w:val="ConsPlusNonformat"/>
        <w:jc w:val="both"/>
      </w:pPr>
      <w:r>
        <w:t xml:space="preserve">                                    (подпись)        (расшифровка подписи)</w:t>
      </w:r>
    </w:p>
    <w:p w:rsidR="00EA226E" w:rsidRDefault="00EA226E">
      <w:pPr>
        <w:pStyle w:val="ConsPlusNonformat"/>
        <w:jc w:val="both"/>
      </w:pPr>
      <w:r>
        <w:t xml:space="preserve">                                                       "__" _______ 20__ г.</w:t>
      </w:r>
    </w:p>
    <w:p w:rsidR="00EA226E" w:rsidRDefault="00EA226E">
      <w:pPr>
        <w:pStyle w:val="ConsPlusNonformat"/>
        <w:jc w:val="both"/>
      </w:pPr>
    </w:p>
    <w:p w:rsidR="00EA226E" w:rsidRDefault="00EA226E">
      <w:pPr>
        <w:pStyle w:val="ConsPlusNonformat"/>
        <w:jc w:val="both"/>
      </w:pPr>
      <w:bookmarkStart w:id="28" w:name="P518"/>
      <w:bookmarkEnd w:id="28"/>
      <w:r>
        <w:t xml:space="preserve">            Отчет о результатах управления внутренними рисками</w:t>
      </w:r>
    </w:p>
    <w:p w:rsidR="00EA226E" w:rsidRDefault="00EA226E">
      <w:pPr>
        <w:pStyle w:val="ConsPlusNonformat"/>
        <w:jc w:val="both"/>
      </w:pPr>
      <w:r>
        <w:t>______________________________________ по состоянию на "__" _______ 20__ г.</w:t>
      </w:r>
    </w:p>
    <w:p w:rsidR="00EA226E" w:rsidRDefault="00EA226E">
      <w:pPr>
        <w:pStyle w:val="ConsPlusNonformat"/>
        <w:jc w:val="both"/>
      </w:pPr>
      <w:r>
        <w:t xml:space="preserve">     </w:t>
      </w:r>
      <w:proofErr w:type="gramStart"/>
      <w:r>
        <w:t>(наименование структурного</w:t>
      </w:r>
      <w:proofErr w:type="gramEnd"/>
    </w:p>
    <w:p w:rsidR="00EA226E" w:rsidRDefault="00EA226E">
      <w:pPr>
        <w:pStyle w:val="ConsPlusNonformat"/>
        <w:jc w:val="both"/>
      </w:pPr>
      <w:r>
        <w:t xml:space="preserve">  подразделения органа Федерального</w:t>
      </w:r>
    </w:p>
    <w:p w:rsidR="00EA226E" w:rsidRDefault="00EA226E">
      <w:pPr>
        <w:pStyle w:val="ConsPlusNonformat"/>
        <w:jc w:val="both"/>
      </w:pPr>
      <w:r>
        <w:t xml:space="preserve"> казначейства, казенного учреждения)</w:t>
      </w:r>
    </w:p>
    <w:p w:rsidR="00EA226E" w:rsidRDefault="00EA226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18"/>
        <w:gridCol w:w="680"/>
        <w:gridCol w:w="680"/>
        <w:gridCol w:w="567"/>
        <w:gridCol w:w="1247"/>
        <w:gridCol w:w="1247"/>
        <w:gridCol w:w="1247"/>
        <w:gridCol w:w="1474"/>
        <w:gridCol w:w="1361"/>
      </w:tblGrid>
      <w:tr w:rsidR="00EA226E">
        <w:tc>
          <w:tcPr>
            <w:tcW w:w="518" w:type="dxa"/>
          </w:tcPr>
          <w:p w:rsidR="00EA226E" w:rsidRDefault="00EA226E">
            <w:pPr>
              <w:pStyle w:val="ConsPlusNormal"/>
              <w:jc w:val="center"/>
            </w:pPr>
            <w:r>
              <w:t xml:space="preserve">N </w:t>
            </w:r>
            <w:proofErr w:type="spellStart"/>
            <w:proofErr w:type="gramStart"/>
            <w:r>
              <w:t>п</w:t>
            </w:r>
            <w:proofErr w:type="spellEnd"/>
            <w:proofErr w:type="gramEnd"/>
            <w:r>
              <w:t>/</w:t>
            </w:r>
            <w:proofErr w:type="spellStart"/>
            <w:r>
              <w:t>п</w:t>
            </w:r>
            <w:proofErr w:type="spellEnd"/>
          </w:p>
        </w:tc>
        <w:tc>
          <w:tcPr>
            <w:tcW w:w="1927" w:type="dxa"/>
            <w:gridSpan w:val="3"/>
          </w:tcPr>
          <w:p w:rsidR="00EA226E" w:rsidRDefault="00EA226E">
            <w:pPr>
              <w:pStyle w:val="ConsPlusNormal"/>
              <w:jc w:val="center"/>
            </w:pPr>
            <w:r>
              <w:t>Код риска</w:t>
            </w:r>
          </w:p>
        </w:tc>
        <w:tc>
          <w:tcPr>
            <w:tcW w:w="1247" w:type="dxa"/>
          </w:tcPr>
          <w:p w:rsidR="00EA226E" w:rsidRDefault="00EA226E">
            <w:pPr>
              <w:pStyle w:val="ConsPlusNormal"/>
              <w:jc w:val="center"/>
            </w:pPr>
            <w:r>
              <w:t>Наименование риска</w:t>
            </w:r>
          </w:p>
        </w:tc>
        <w:tc>
          <w:tcPr>
            <w:tcW w:w="1247" w:type="dxa"/>
          </w:tcPr>
          <w:p w:rsidR="00EA226E" w:rsidRDefault="00EA226E">
            <w:pPr>
              <w:pStyle w:val="ConsPlusNormal"/>
              <w:jc w:val="center"/>
            </w:pPr>
            <w:r>
              <w:t>Уровень риска</w:t>
            </w:r>
          </w:p>
        </w:tc>
        <w:tc>
          <w:tcPr>
            <w:tcW w:w="1247" w:type="dxa"/>
          </w:tcPr>
          <w:p w:rsidR="00EA226E" w:rsidRDefault="00EA226E">
            <w:pPr>
              <w:pStyle w:val="ConsPlusNormal"/>
              <w:jc w:val="center"/>
            </w:pPr>
            <w:r>
              <w:t>Способ реагирования на риск</w:t>
            </w:r>
          </w:p>
        </w:tc>
        <w:tc>
          <w:tcPr>
            <w:tcW w:w="1474" w:type="dxa"/>
          </w:tcPr>
          <w:p w:rsidR="00EA226E" w:rsidRDefault="00EA226E">
            <w:pPr>
              <w:pStyle w:val="ConsPlusNormal"/>
              <w:jc w:val="center"/>
            </w:pPr>
            <w:r>
              <w:t>Количество фактов реализовавшихся рисков</w:t>
            </w:r>
          </w:p>
        </w:tc>
        <w:tc>
          <w:tcPr>
            <w:tcW w:w="1361" w:type="dxa"/>
          </w:tcPr>
          <w:p w:rsidR="00EA226E" w:rsidRDefault="00EA226E">
            <w:pPr>
              <w:pStyle w:val="ConsPlusNormal"/>
              <w:jc w:val="center"/>
            </w:pPr>
            <w:r>
              <w:t>Информация о принятых мерах (кратко)</w:t>
            </w:r>
          </w:p>
        </w:tc>
      </w:tr>
      <w:tr w:rsidR="00EA226E">
        <w:tc>
          <w:tcPr>
            <w:tcW w:w="518" w:type="dxa"/>
          </w:tcPr>
          <w:p w:rsidR="00EA226E" w:rsidRDefault="00EA226E">
            <w:pPr>
              <w:pStyle w:val="ConsPlusNormal"/>
              <w:jc w:val="center"/>
            </w:pPr>
            <w:bookmarkStart w:id="29" w:name="P531"/>
            <w:bookmarkEnd w:id="29"/>
            <w:r>
              <w:t>1</w:t>
            </w:r>
          </w:p>
        </w:tc>
        <w:tc>
          <w:tcPr>
            <w:tcW w:w="1927" w:type="dxa"/>
            <w:gridSpan w:val="3"/>
          </w:tcPr>
          <w:p w:rsidR="00EA226E" w:rsidRDefault="00EA226E">
            <w:pPr>
              <w:pStyle w:val="ConsPlusNormal"/>
              <w:jc w:val="center"/>
            </w:pPr>
            <w:bookmarkStart w:id="30" w:name="P532"/>
            <w:bookmarkEnd w:id="30"/>
            <w:r>
              <w:t>2</w:t>
            </w:r>
          </w:p>
        </w:tc>
        <w:tc>
          <w:tcPr>
            <w:tcW w:w="1247" w:type="dxa"/>
          </w:tcPr>
          <w:p w:rsidR="00EA226E" w:rsidRDefault="00EA226E">
            <w:pPr>
              <w:pStyle w:val="ConsPlusNormal"/>
              <w:jc w:val="center"/>
            </w:pPr>
            <w:bookmarkStart w:id="31" w:name="P533"/>
            <w:bookmarkEnd w:id="31"/>
            <w:r>
              <w:t>3</w:t>
            </w:r>
          </w:p>
        </w:tc>
        <w:tc>
          <w:tcPr>
            <w:tcW w:w="1247" w:type="dxa"/>
          </w:tcPr>
          <w:p w:rsidR="00EA226E" w:rsidRDefault="00EA226E">
            <w:pPr>
              <w:pStyle w:val="ConsPlusNormal"/>
              <w:jc w:val="center"/>
            </w:pPr>
            <w:bookmarkStart w:id="32" w:name="P534"/>
            <w:bookmarkEnd w:id="32"/>
            <w:r>
              <w:t>4</w:t>
            </w:r>
          </w:p>
        </w:tc>
        <w:tc>
          <w:tcPr>
            <w:tcW w:w="1247" w:type="dxa"/>
          </w:tcPr>
          <w:p w:rsidR="00EA226E" w:rsidRDefault="00EA226E">
            <w:pPr>
              <w:pStyle w:val="ConsPlusNormal"/>
              <w:jc w:val="center"/>
            </w:pPr>
            <w:bookmarkStart w:id="33" w:name="P535"/>
            <w:bookmarkEnd w:id="33"/>
            <w:r>
              <w:t>5</w:t>
            </w:r>
          </w:p>
        </w:tc>
        <w:tc>
          <w:tcPr>
            <w:tcW w:w="1474" w:type="dxa"/>
          </w:tcPr>
          <w:p w:rsidR="00EA226E" w:rsidRDefault="00EA226E">
            <w:pPr>
              <w:pStyle w:val="ConsPlusNormal"/>
              <w:jc w:val="center"/>
            </w:pPr>
            <w:bookmarkStart w:id="34" w:name="P536"/>
            <w:bookmarkEnd w:id="34"/>
            <w:r>
              <w:t>6</w:t>
            </w:r>
          </w:p>
        </w:tc>
        <w:tc>
          <w:tcPr>
            <w:tcW w:w="1361" w:type="dxa"/>
          </w:tcPr>
          <w:p w:rsidR="00EA226E" w:rsidRDefault="00EA226E">
            <w:pPr>
              <w:pStyle w:val="ConsPlusNormal"/>
              <w:jc w:val="center"/>
            </w:pPr>
            <w:bookmarkStart w:id="35" w:name="P537"/>
            <w:bookmarkEnd w:id="35"/>
            <w:r>
              <w:t>7</w:t>
            </w:r>
          </w:p>
        </w:tc>
      </w:tr>
      <w:tr w:rsidR="00EA226E">
        <w:tc>
          <w:tcPr>
            <w:tcW w:w="9021" w:type="dxa"/>
            <w:gridSpan w:val="9"/>
          </w:tcPr>
          <w:p w:rsidR="00EA226E" w:rsidRDefault="00EA226E">
            <w:pPr>
              <w:pStyle w:val="ConsPlusNormal"/>
              <w:jc w:val="center"/>
              <w:outlineLvl w:val="2"/>
            </w:pPr>
            <w:r>
              <w:t>Направление деятельности: I. (указывается направление деятельности структурного подразделения ЦАФК, ТОФК ФКУ "ЦОКР")</w:t>
            </w:r>
          </w:p>
        </w:tc>
      </w:tr>
      <w:tr w:rsidR="00EA226E">
        <w:tc>
          <w:tcPr>
            <w:tcW w:w="518" w:type="dxa"/>
          </w:tcPr>
          <w:p w:rsidR="00EA226E" w:rsidRDefault="00EA226E">
            <w:pPr>
              <w:pStyle w:val="ConsPlusNormal"/>
              <w:jc w:val="center"/>
            </w:pPr>
            <w:r>
              <w:t>1</w:t>
            </w:r>
          </w:p>
        </w:tc>
        <w:tc>
          <w:tcPr>
            <w:tcW w:w="680" w:type="dxa"/>
          </w:tcPr>
          <w:p w:rsidR="00EA226E" w:rsidRDefault="00EA226E">
            <w:pPr>
              <w:pStyle w:val="ConsPlusNormal"/>
              <w:jc w:val="center"/>
            </w:pPr>
            <w:r>
              <w:t>1</w:t>
            </w:r>
          </w:p>
        </w:tc>
        <w:tc>
          <w:tcPr>
            <w:tcW w:w="680" w:type="dxa"/>
          </w:tcPr>
          <w:p w:rsidR="00EA226E" w:rsidRDefault="00EA226E">
            <w:pPr>
              <w:pStyle w:val="ConsPlusNormal"/>
              <w:jc w:val="center"/>
            </w:pPr>
            <w:r>
              <w:t>1</w:t>
            </w:r>
          </w:p>
        </w:tc>
        <w:tc>
          <w:tcPr>
            <w:tcW w:w="567" w:type="dxa"/>
          </w:tcPr>
          <w:p w:rsidR="00EA226E" w:rsidRDefault="00EA226E">
            <w:pPr>
              <w:pStyle w:val="ConsPlusNormal"/>
              <w:jc w:val="center"/>
            </w:pPr>
            <w:r>
              <w:t>0</w:t>
            </w:r>
          </w:p>
        </w:tc>
        <w:tc>
          <w:tcPr>
            <w:tcW w:w="1247" w:type="dxa"/>
          </w:tcPr>
          <w:p w:rsidR="00EA226E" w:rsidRDefault="00EA226E">
            <w:pPr>
              <w:pStyle w:val="ConsPlusNormal"/>
            </w:pPr>
          </w:p>
        </w:tc>
        <w:tc>
          <w:tcPr>
            <w:tcW w:w="1247" w:type="dxa"/>
          </w:tcPr>
          <w:p w:rsidR="00EA226E" w:rsidRDefault="00EA226E">
            <w:pPr>
              <w:pStyle w:val="ConsPlusNormal"/>
            </w:pPr>
          </w:p>
        </w:tc>
        <w:tc>
          <w:tcPr>
            <w:tcW w:w="1247" w:type="dxa"/>
          </w:tcPr>
          <w:p w:rsidR="00EA226E" w:rsidRDefault="00EA226E">
            <w:pPr>
              <w:pStyle w:val="ConsPlusNormal"/>
            </w:pPr>
          </w:p>
        </w:tc>
        <w:tc>
          <w:tcPr>
            <w:tcW w:w="1474" w:type="dxa"/>
          </w:tcPr>
          <w:p w:rsidR="00EA226E" w:rsidRDefault="00EA226E">
            <w:pPr>
              <w:pStyle w:val="ConsPlusNormal"/>
            </w:pPr>
          </w:p>
        </w:tc>
        <w:tc>
          <w:tcPr>
            <w:tcW w:w="1361" w:type="dxa"/>
          </w:tcPr>
          <w:p w:rsidR="00EA226E" w:rsidRDefault="00EA226E">
            <w:pPr>
              <w:pStyle w:val="ConsPlusNormal"/>
            </w:pPr>
          </w:p>
        </w:tc>
      </w:tr>
      <w:tr w:rsidR="00EA226E">
        <w:tc>
          <w:tcPr>
            <w:tcW w:w="518" w:type="dxa"/>
          </w:tcPr>
          <w:p w:rsidR="00EA226E" w:rsidRDefault="00EA226E">
            <w:pPr>
              <w:pStyle w:val="ConsPlusNormal"/>
              <w:jc w:val="center"/>
            </w:pPr>
            <w:r>
              <w:t>2</w:t>
            </w:r>
          </w:p>
        </w:tc>
        <w:tc>
          <w:tcPr>
            <w:tcW w:w="680" w:type="dxa"/>
          </w:tcPr>
          <w:p w:rsidR="00EA226E" w:rsidRDefault="00EA226E">
            <w:pPr>
              <w:pStyle w:val="ConsPlusNormal"/>
              <w:jc w:val="center"/>
            </w:pPr>
            <w:r>
              <w:t>1</w:t>
            </w:r>
          </w:p>
        </w:tc>
        <w:tc>
          <w:tcPr>
            <w:tcW w:w="680" w:type="dxa"/>
          </w:tcPr>
          <w:p w:rsidR="00EA226E" w:rsidRDefault="00EA226E">
            <w:pPr>
              <w:pStyle w:val="ConsPlusNormal"/>
              <w:jc w:val="center"/>
            </w:pPr>
            <w:r>
              <w:t>2</w:t>
            </w:r>
          </w:p>
        </w:tc>
        <w:tc>
          <w:tcPr>
            <w:tcW w:w="567" w:type="dxa"/>
          </w:tcPr>
          <w:p w:rsidR="00EA226E" w:rsidRDefault="00EA226E">
            <w:pPr>
              <w:pStyle w:val="ConsPlusNormal"/>
              <w:jc w:val="center"/>
            </w:pPr>
            <w:r>
              <w:t>0</w:t>
            </w:r>
          </w:p>
        </w:tc>
        <w:tc>
          <w:tcPr>
            <w:tcW w:w="1247" w:type="dxa"/>
          </w:tcPr>
          <w:p w:rsidR="00EA226E" w:rsidRDefault="00EA226E">
            <w:pPr>
              <w:pStyle w:val="ConsPlusNormal"/>
            </w:pPr>
          </w:p>
        </w:tc>
        <w:tc>
          <w:tcPr>
            <w:tcW w:w="1247" w:type="dxa"/>
          </w:tcPr>
          <w:p w:rsidR="00EA226E" w:rsidRDefault="00EA226E">
            <w:pPr>
              <w:pStyle w:val="ConsPlusNormal"/>
            </w:pPr>
          </w:p>
        </w:tc>
        <w:tc>
          <w:tcPr>
            <w:tcW w:w="1247" w:type="dxa"/>
          </w:tcPr>
          <w:p w:rsidR="00EA226E" w:rsidRDefault="00EA226E">
            <w:pPr>
              <w:pStyle w:val="ConsPlusNormal"/>
            </w:pPr>
          </w:p>
        </w:tc>
        <w:tc>
          <w:tcPr>
            <w:tcW w:w="1474" w:type="dxa"/>
          </w:tcPr>
          <w:p w:rsidR="00EA226E" w:rsidRDefault="00EA226E">
            <w:pPr>
              <w:pStyle w:val="ConsPlusNormal"/>
            </w:pPr>
          </w:p>
        </w:tc>
        <w:tc>
          <w:tcPr>
            <w:tcW w:w="1361" w:type="dxa"/>
          </w:tcPr>
          <w:p w:rsidR="00EA226E" w:rsidRDefault="00EA226E">
            <w:pPr>
              <w:pStyle w:val="ConsPlusNormal"/>
            </w:pPr>
          </w:p>
        </w:tc>
      </w:tr>
      <w:tr w:rsidR="00EA226E">
        <w:tc>
          <w:tcPr>
            <w:tcW w:w="518" w:type="dxa"/>
          </w:tcPr>
          <w:p w:rsidR="00EA226E" w:rsidRDefault="00EA226E">
            <w:pPr>
              <w:pStyle w:val="ConsPlusNormal"/>
              <w:jc w:val="center"/>
            </w:pPr>
            <w:r>
              <w:t>3</w:t>
            </w:r>
          </w:p>
        </w:tc>
        <w:tc>
          <w:tcPr>
            <w:tcW w:w="680" w:type="dxa"/>
          </w:tcPr>
          <w:p w:rsidR="00EA226E" w:rsidRDefault="00EA226E">
            <w:pPr>
              <w:pStyle w:val="ConsPlusNormal"/>
              <w:jc w:val="center"/>
            </w:pPr>
            <w:r>
              <w:t>1</w:t>
            </w:r>
          </w:p>
        </w:tc>
        <w:tc>
          <w:tcPr>
            <w:tcW w:w="680" w:type="dxa"/>
          </w:tcPr>
          <w:p w:rsidR="00EA226E" w:rsidRDefault="00EA226E">
            <w:pPr>
              <w:pStyle w:val="ConsPlusNormal"/>
              <w:jc w:val="center"/>
            </w:pPr>
            <w:r>
              <w:t>2</w:t>
            </w:r>
          </w:p>
        </w:tc>
        <w:tc>
          <w:tcPr>
            <w:tcW w:w="567" w:type="dxa"/>
          </w:tcPr>
          <w:p w:rsidR="00EA226E" w:rsidRDefault="00EA226E">
            <w:pPr>
              <w:pStyle w:val="ConsPlusNormal"/>
              <w:jc w:val="center"/>
            </w:pPr>
            <w:r>
              <w:t>1</w:t>
            </w:r>
          </w:p>
        </w:tc>
        <w:tc>
          <w:tcPr>
            <w:tcW w:w="1247" w:type="dxa"/>
          </w:tcPr>
          <w:p w:rsidR="00EA226E" w:rsidRDefault="00EA226E">
            <w:pPr>
              <w:pStyle w:val="ConsPlusNormal"/>
            </w:pPr>
          </w:p>
        </w:tc>
        <w:tc>
          <w:tcPr>
            <w:tcW w:w="1247" w:type="dxa"/>
          </w:tcPr>
          <w:p w:rsidR="00EA226E" w:rsidRDefault="00EA226E">
            <w:pPr>
              <w:pStyle w:val="ConsPlusNormal"/>
            </w:pPr>
          </w:p>
        </w:tc>
        <w:tc>
          <w:tcPr>
            <w:tcW w:w="1247" w:type="dxa"/>
          </w:tcPr>
          <w:p w:rsidR="00EA226E" w:rsidRDefault="00EA226E">
            <w:pPr>
              <w:pStyle w:val="ConsPlusNormal"/>
            </w:pPr>
          </w:p>
        </w:tc>
        <w:tc>
          <w:tcPr>
            <w:tcW w:w="1474" w:type="dxa"/>
          </w:tcPr>
          <w:p w:rsidR="00EA226E" w:rsidRDefault="00EA226E">
            <w:pPr>
              <w:pStyle w:val="ConsPlusNormal"/>
            </w:pPr>
          </w:p>
        </w:tc>
        <w:tc>
          <w:tcPr>
            <w:tcW w:w="1361" w:type="dxa"/>
          </w:tcPr>
          <w:p w:rsidR="00EA226E" w:rsidRDefault="00EA226E">
            <w:pPr>
              <w:pStyle w:val="ConsPlusNormal"/>
            </w:pPr>
          </w:p>
        </w:tc>
      </w:tr>
      <w:tr w:rsidR="00EA226E">
        <w:tc>
          <w:tcPr>
            <w:tcW w:w="518" w:type="dxa"/>
          </w:tcPr>
          <w:p w:rsidR="00EA226E" w:rsidRDefault="00EA226E">
            <w:pPr>
              <w:pStyle w:val="ConsPlusNormal"/>
              <w:jc w:val="center"/>
            </w:pPr>
            <w:r>
              <w:t>...</w:t>
            </w:r>
          </w:p>
        </w:tc>
        <w:tc>
          <w:tcPr>
            <w:tcW w:w="680" w:type="dxa"/>
          </w:tcPr>
          <w:p w:rsidR="00EA226E" w:rsidRDefault="00EA226E">
            <w:pPr>
              <w:pStyle w:val="ConsPlusNormal"/>
            </w:pPr>
          </w:p>
        </w:tc>
        <w:tc>
          <w:tcPr>
            <w:tcW w:w="680" w:type="dxa"/>
          </w:tcPr>
          <w:p w:rsidR="00EA226E" w:rsidRDefault="00EA226E">
            <w:pPr>
              <w:pStyle w:val="ConsPlusNormal"/>
            </w:pPr>
          </w:p>
        </w:tc>
        <w:tc>
          <w:tcPr>
            <w:tcW w:w="567" w:type="dxa"/>
          </w:tcPr>
          <w:p w:rsidR="00EA226E" w:rsidRDefault="00EA226E">
            <w:pPr>
              <w:pStyle w:val="ConsPlusNormal"/>
            </w:pPr>
          </w:p>
        </w:tc>
        <w:tc>
          <w:tcPr>
            <w:tcW w:w="1247" w:type="dxa"/>
          </w:tcPr>
          <w:p w:rsidR="00EA226E" w:rsidRDefault="00EA226E">
            <w:pPr>
              <w:pStyle w:val="ConsPlusNormal"/>
            </w:pPr>
          </w:p>
        </w:tc>
        <w:tc>
          <w:tcPr>
            <w:tcW w:w="1247" w:type="dxa"/>
          </w:tcPr>
          <w:p w:rsidR="00EA226E" w:rsidRDefault="00EA226E">
            <w:pPr>
              <w:pStyle w:val="ConsPlusNormal"/>
            </w:pPr>
          </w:p>
        </w:tc>
        <w:tc>
          <w:tcPr>
            <w:tcW w:w="1247" w:type="dxa"/>
          </w:tcPr>
          <w:p w:rsidR="00EA226E" w:rsidRDefault="00EA226E">
            <w:pPr>
              <w:pStyle w:val="ConsPlusNormal"/>
            </w:pPr>
          </w:p>
        </w:tc>
        <w:tc>
          <w:tcPr>
            <w:tcW w:w="1474" w:type="dxa"/>
          </w:tcPr>
          <w:p w:rsidR="00EA226E" w:rsidRDefault="00EA226E">
            <w:pPr>
              <w:pStyle w:val="ConsPlusNormal"/>
            </w:pPr>
          </w:p>
        </w:tc>
        <w:tc>
          <w:tcPr>
            <w:tcW w:w="1361" w:type="dxa"/>
          </w:tcPr>
          <w:p w:rsidR="00EA226E" w:rsidRDefault="00EA226E">
            <w:pPr>
              <w:pStyle w:val="ConsPlusNormal"/>
            </w:pPr>
          </w:p>
        </w:tc>
      </w:tr>
      <w:tr w:rsidR="00EA226E">
        <w:tc>
          <w:tcPr>
            <w:tcW w:w="9021" w:type="dxa"/>
            <w:gridSpan w:val="9"/>
          </w:tcPr>
          <w:p w:rsidR="00EA226E" w:rsidRDefault="00EA226E">
            <w:pPr>
              <w:pStyle w:val="ConsPlusNormal"/>
              <w:jc w:val="center"/>
              <w:outlineLvl w:val="2"/>
            </w:pPr>
            <w:r>
              <w:t>Направление деятельности: II. (указывается направление деятельности структурного подразделения ЦАФК, ТОФК, ФКУ "ЦОКР")</w:t>
            </w:r>
          </w:p>
        </w:tc>
      </w:tr>
      <w:tr w:rsidR="00EA226E">
        <w:tc>
          <w:tcPr>
            <w:tcW w:w="518" w:type="dxa"/>
          </w:tcPr>
          <w:p w:rsidR="00EA226E" w:rsidRDefault="00EA226E">
            <w:pPr>
              <w:pStyle w:val="ConsPlusNormal"/>
              <w:jc w:val="center"/>
            </w:pPr>
            <w:r>
              <w:t>...</w:t>
            </w:r>
          </w:p>
        </w:tc>
        <w:tc>
          <w:tcPr>
            <w:tcW w:w="680" w:type="dxa"/>
          </w:tcPr>
          <w:p w:rsidR="00EA226E" w:rsidRDefault="00EA226E">
            <w:pPr>
              <w:pStyle w:val="ConsPlusNormal"/>
            </w:pPr>
          </w:p>
        </w:tc>
        <w:tc>
          <w:tcPr>
            <w:tcW w:w="680" w:type="dxa"/>
          </w:tcPr>
          <w:p w:rsidR="00EA226E" w:rsidRDefault="00EA226E">
            <w:pPr>
              <w:pStyle w:val="ConsPlusNormal"/>
            </w:pPr>
          </w:p>
        </w:tc>
        <w:tc>
          <w:tcPr>
            <w:tcW w:w="567" w:type="dxa"/>
          </w:tcPr>
          <w:p w:rsidR="00EA226E" w:rsidRDefault="00EA226E">
            <w:pPr>
              <w:pStyle w:val="ConsPlusNormal"/>
            </w:pPr>
          </w:p>
        </w:tc>
        <w:tc>
          <w:tcPr>
            <w:tcW w:w="1247" w:type="dxa"/>
          </w:tcPr>
          <w:p w:rsidR="00EA226E" w:rsidRDefault="00EA226E">
            <w:pPr>
              <w:pStyle w:val="ConsPlusNormal"/>
            </w:pPr>
          </w:p>
        </w:tc>
        <w:tc>
          <w:tcPr>
            <w:tcW w:w="1247" w:type="dxa"/>
          </w:tcPr>
          <w:p w:rsidR="00EA226E" w:rsidRDefault="00EA226E">
            <w:pPr>
              <w:pStyle w:val="ConsPlusNormal"/>
            </w:pPr>
          </w:p>
        </w:tc>
        <w:tc>
          <w:tcPr>
            <w:tcW w:w="1247" w:type="dxa"/>
          </w:tcPr>
          <w:p w:rsidR="00EA226E" w:rsidRDefault="00EA226E">
            <w:pPr>
              <w:pStyle w:val="ConsPlusNormal"/>
            </w:pPr>
          </w:p>
        </w:tc>
        <w:tc>
          <w:tcPr>
            <w:tcW w:w="1474" w:type="dxa"/>
          </w:tcPr>
          <w:p w:rsidR="00EA226E" w:rsidRDefault="00EA226E">
            <w:pPr>
              <w:pStyle w:val="ConsPlusNormal"/>
            </w:pPr>
          </w:p>
        </w:tc>
        <w:tc>
          <w:tcPr>
            <w:tcW w:w="1361" w:type="dxa"/>
          </w:tcPr>
          <w:p w:rsidR="00EA226E" w:rsidRDefault="00EA226E">
            <w:pPr>
              <w:pStyle w:val="ConsPlusNormal"/>
            </w:pPr>
          </w:p>
        </w:tc>
      </w:tr>
    </w:tbl>
    <w:p w:rsidR="00EA226E" w:rsidRDefault="00EA226E">
      <w:pPr>
        <w:pStyle w:val="ConsPlusNormal"/>
        <w:jc w:val="both"/>
      </w:pPr>
    </w:p>
    <w:p w:rsidR="00EA226E" w:rsidRDefault="00EA226E">
      <w:pPr>
        <w:pStyle w:val="ConsPlusNonformat"/>
        <w:jc w:val="both"/>
      </w:pPr>
      <w:r>
        <w:t>Начальник структурного подразделения     _________   ______________________</w:t>
      </w:r>
    </w:p>
    <w:p w:rsidR="00EA226E" w:rsidRDefault="00EA226E">
      <w:pPr>
        <w:pStyle w:val="ConsPlusNonformat"/>
        <w:jc w:val="both"/>
      </w:pPr>
      <w:r>
        <w:t>(иное уполномоченное лицо)               (подпись)   (расшифровка подписи)</w:t>
      </w:r>
    </w:p>
    <w:p w:rsidR="00EA226E" w:rsidRDefault="00EA226E">
      <w:pPr>
        <w:pStyle w:val="ConsPlusNonformat"/>
        <w:jc w:val="both"/>
      </w:pPr>
    </w:p>
    <w:p w:rsidR="00EA226E" w:rsidRDefault="00EA226E">
      <w:pPr>
        <w:pStyle w:val="ConsPlusNonformat"/>
        <w:jc w:val="both"/>
      </w:pPr>
      <w:r>
        <w:t xml:space="preserve">                                                       "__" _______ 20__ г.</w:t>
      </w:r>
    </w:p>
    <w:p w:rsidR="00EA226E" w:rsidRDefault="00EA226E">
      <w:pPr>
        <w:pStyle w:val="ConsPlusNormal"/>
        <w:jc w:val="both"/>
      </w:pPr>
    </w:p>
    <w:p w:rsidR="00EA226E" w:rsidRDefault="00EA226E">
      <w:pPr>
        <w:pStyle w:val="ConsPlusNormal"/>
        <w:jc w:val="center"/>
        <w:outlineLvl w:val="2"/>
      </w:pPr>
      <w:r>
        <w:t>Указания</w:t>
      </w:r>
    </w:p>
    <w:p w:rsidR="00EA226E" w:rsidRDefault="00EA226E">
      <w:pPr>
        <w:pStyle w:val="ConsPlusNormal"/>
        <w:jc w:val="center"/>
      </w:pPr>
      <w:r>
        <w:t>по заполнению формы "Отчет о результатах управления</w:t>
      </w:r>
    </w:p>
    <w:p w:rsidR="00EA226E" w:rsidRDefault="00EA226E">
      <w:pPr>
        <w:pStyle w:val="ConsPlusNormal"/>
        <w:jc w:val="center"/>
      </w:pPr>
      <w:r>
        <w:t>внутренними рисками"</w:t>
      </w:r>
    </w:p>
    <w:p w:rsidR="00EA226E" w:rsidRDefault="00EA226E">
      <w:pPr>
        <w:pStyle w:val="ConsPlusNormal"/>
        <w:jc w:val="both"/>
      </w:pPr>
    </w:p>
    <w:p w:rsidR="00EA226E" w:rsidRDefault="00EA226E">
      <w:pPr>
        <w:pStyle w:val="ConsPlusNormal"/>
        <w:ind w:firstLine="540"/>
        <w:jc w:val="both"/>
      </w:pPr>
      <w:r>
        <w:t xml:space="preserve">1. В </w:t>
      </w:r>
      <w:hyperlink w:anchor="P518" w:history="1">
        <w:r>
          <w:rPr>
            <w:color w:val="0000FF"/>
          </w:rPr>
          <w:t>заголовочной части</w:t>
        </w:r>
      </w:hyperlink>
      <w:r>
        <w:t xml:space="preserve"> формы указываются:</w:t>
      </w:r>
    </w:p>
    <w:p w:rsidR="00EA226E" w:rsidRDefault="00EA226E">
      <w:pPr>
        <w:pStyle w:val="ConsPlusNormal"/>
        <w:spacing w:before="220"/>
        <w:ind w:firstLine="540"/>
        <w:jc w:val="both"/>
      </w:pPr>
      <w:r>
        <w:t>полное наименование структурного подразделения центрального аппарата Федерального казначейства, территориального органа Федерального казначейства, федерального казенного учреждения "Центр по обеспечению деятельности Казначейства России";</w:t>
      </w:r>
    </w:p>
    <w:p w:rsidR="00EA226E" w:rsidRDefault="00EA226E">
      <w:pPr>
        <w:pStyle w:val="ConsPlusNormal"/>
        <w:spacing w:before="220"/>
        <w:ind w:firstLine="540"/>
        <w:jc w:val="both"/>
      </w:pPr>
      <w:r>
        <w:t>отчетный период.</w:t>
      </w:r>
    </w:p>
    <w:p w:rsidR="00EA226E" w:rsidRDefault="00EA226E">
      <w:pPr>
        <w:pStyle w:val="ConsPlusNormal"/>
        <w:spacing w:before="220"/>
        <w:ind w:firstLine="540"/>
        <w:jc w:val="both"/>
      </w:pPr>
      <w:r>
        <w:t xml:space="preserve">2. В </w:t>
      </w:r>
      <w:hyperlink w:anchor="P531" w:history="1">
        <w:r>
          <w:rPr>
            <w:color w:val="0000FF"/>
          </w:rPr>
          <w:t>графе 1</w:t>
        </w:r>
      </w:hyperlink>
      <w:r>
        <w:t xml:space="preserve"> формы указывается порядковый номер реализовавшегося в отчетном периоде </w:t>
      </w:r>
      <w:r>
        <w:lastRenderedPageBreak/>
        <w:t>риска.</w:t>
      </w:r>
    </w:p>
    <w:p w:rsidR="00EA226E" w:rsidRDefault="00EA226E">
      <w:pPr>
        <w:pStyle w:val="ConsPlusNormal"/>
        <w:spacing w:before="220"/>
        <w:ind w:firstLine="540"/>
        <w:jc w:val="both"/>
      </w:pPr>
      <w:r>
        <w:t xml:space="preserve">3. В </w:t>
      </w:r>
      <w:hyperlink w:anchor="P532" w:history="1">
        <w:r>
          <w:rPr>
            <w:color w:val="0000FF"/>
          </w:rPr>
          <w:t>графе 2</w:t>
        </w:r>
      </w:hyperlink>
      <w:r>
        <w:t xml:space="preserve"> формы указывается код риска в соответствии с Классификатором внутренних (операционных) казначейских рисков по направлениям деятельности территориальных органов Федерального казначейства, действующим на дату составления отчета.</w:t>
      </w:r>
    </w:p>
    <w:p w:rsidR="00EA226E" w:rsidRDefault="00EA226E">
      <w:pPr>
        <w:pStyle w:val="ConsPlusNormal"/>
        <w:spacing w:before="220"/>
        <w:ind w:firstLine="540"/>
        <w:jc w:val="both"/>
      </w:pPr>
      <w:r>
        <w:t>В случае заполнения формы структурным подразделением центрального аппарата Федерального казначейства, казенным учреждением код риска не указывается.</w:t>
      </w:r>
    </w:p>
    <w:p w:rsidR="00EA226E" w:rsidRDefault="00EA226E">
      <w:pPr>
        <w:pStyle w:val="ConsPlusNormal"/>
        <w:spacing w:before="220"/>
        <w:ind w:firstLine="540"/>
        <w:jc w:val="both"/>
      </w:pPr>
      <w:r>
        <w:t xml:space="preserve">4. В </w:t>
      </w:r>
      <w:hyperlink w:anchor="P533" w:history="1">
        <w:r>
          <w:rPr>
            <w:color w:val="0000FF"/>
          </w:rPr>
          <w:t>графе 3</w:t>
        </w:r>
      </w:hyperlink>
      <w:r>
        <w:t xml:space="preserve"> формы указывается наименование реализовавшегося внутреннего риска в соответствии с Классификатором внутренних (операционных) казначейских рисков по направлениям деятельности территориальных органов Федерального казначейства, действующим на дату составления отчета.</w:t>
      </w:r>
    </w:p>
    <w:p w:rsidR="00EA226E" w:rsidRDefault="00EA226E">
      <w:pPr>
        <w:pStyle w:val="ConsPlusNormal"/>
        <w:spacing w:before="220"/>
        <w:ind w:firstLine="540"/>
        <w:jc w:val="both"/>
      </w:pPr>
      <w:r>
        <w:t xml:space="preserve">5. В </w:t>
      </w:r>
      <w:hyperlink w:anchor="P534" w:history="1">
        <w:r>
          <w:rPr>
            <w:color w:val="0000FF"/>
          </w:rPr>
          <w:t>графе 4</w:t>
        </w:r>
      </w:hyperlink>
      <w:r>
        <w:t xml:space="preserve"> формы указывается уровень выявленного внутреннего риска.</w:t>
      </w:r>
    </w:p>
    <w:p w:rsidR="00EA226E" w:rsidRDefault="00EA226E">
      <w:pPr>
        <w:pStyle w:val="ConsPlusNormal"/>
        <w:spacing w:before="220"/>
        <w:ind w:firstLine="540"/>
        <w:jc w:val="both"/>
      </w:pPr>
      <w:r>
        <w:t xml:space="preserve">6. В </w:t>
      </w:r>
      <w:hyperlink w:anchor="P535" w:history="1">
        <w:r>
          <w:rPr>
            <w:color w:val="0000FF"/>
          </w:rPr>
          <w:t>графе 5</w:t>
        </w:r>
      </w:hyperlink>
      <w:r>
        <w:t xml:space="preserve"> формы указывается способ реагирования на внутренний риск.</w:t>
      </w:r>
    </w:p>
    <w:p w:rsidR="00EA226E" w:rsidRDefault="00EA226E">
      <w:pPr>
        <w:pStyle w:val="ConsPlusNormal"/>
        <w:spacing w:before="220"/>
        <w:ind w:firstLine="540"/>
        <w:jc w:val="both"/>
      </w:pPr>
      <w:r>
        <w:t xml:space="preserve">7. В </w:t>
      </w:r>
      <w:hyperlink w:anchor="P536" w:history="1">
        <w:r>
          <w:rPr>
            <w:color w:val="0000FF"/>
          </w:rPr>
          <w:t>графе 6</w:t>
        </w:r>
      </w:hyperlink>
      <w:r>
        <w:t xml:space="preserve"> формы указывается количество фактов реализовавшихся внутренних рисков в отчетном периоде.</w:t>
      </w:r>
    </w:p>
    <w:p w:rsidR="00EA226E" w:rsidRDefault="00EA226E">
      <w:pPr>
        <w:pStyle w:val="ConsPlusNormal"/>
        <w:spacing w:before="220"/>
        <w:ind w:firstLine="540"/>
        <w:jc w:val="both"/>
      </w:pPr>
      <w:r>
        <w:t xml:space="preserve">8. В </w:t>
      </w:r>
      <w:hyperlink w:anchor="P537" w:history="1">
        <w:r>
          <w:rPr>
            <w:color w:val="0000FF"/>
          </w:rPr>
          <w:t>графе 7</w:t>
        </w:r>
      </w:hyperlink>
      <w:r>
        <w:t xml:space="preserve"> формы указывается краткое описание мер, принятых в целях устранения или минимизации неблагоприятных последствий реализовавшихся рисков, а также краткие рекомендации по недопущению возникновения аналогичных рисков в дальнейшей деятельности (для способов реагирования на риск "избежание внутреннего риска", "контроль (снижение) внутреннего риска").</w:t>
      </w:r>
    </w:p>
    <w:p w:rsidR="00EA226E" w:rsidRDefault="00EA226E">
      <w:pPr>
        <w:pStyle w:val="ConsPlusNormal"/>
        <w:jc w:val="both"/>
      </w:pPr>
    </w:p>
    <w:p w:rsidR="00EA226E" w:rsidRDefault="00EA226E">
      <w:pPr>
        <w:pStyle w:val="ConsPlusNormal"/>
        <w:jc w:val="both"/>
      </w:pPr>
    </w:p>
    <w:p w:rsidR="00EA226E" w:rsidRDefault="00EA226E">
      <w:pPr>
        <w:pStyle w:val="ConsPlusNormal"/>
        <w:pBdr>
          <w:top w:val="single" w:sz="6" w:space="0" w:color="auto"/>
        </w:pBdr>
        <w:spacing w:before="100" w:after="100"/>
        <w:jc w:val="both"/>
        <w:rPr>
          <w:sz w:val="2"/>
          <w:szCs w:val="2"/>
        </w:rPr>
      </w:pPr>
    </w:p>
    <w:p w:rsidR="00926CD6" w:rsidRDefault="00926CD6"/>
    <w:sectPr w:rsidR="00926CD6" w:rsidSect="00242E34">
      <w:pgSz w:w="11905" w:h="16838"/>
      <w:pgMar w:top="1134" w:right="850" w:bottom="1134" w:left="1701" w:header="0" w:footer="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characterSpacingControl w:val="doNotCompress"/>
  <w:compat/>
  <w:rsids>
    <w:rsidRoot w:val="00EA226E"/>
    <w:rsid w:val="00104150"/>
    <w:rsid w:val="001F135A"/>
    <w:rsid w:val="007450C6"/>
    <w:rsid w:val="00773407"/>
    <w:rsid w:val="00926CD6"/>
    <w:rsid w:val="00A508CE"/>
    <w:rsid w:val="00B06A33"/>
    <w:rsid w:val="00B22816"/>
    <w:rsid w:val="00C02FDA"/>
    <w:rsid w:val="00EA226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26CD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A226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EA226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EA226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EA226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EA226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EA226E"/>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EA226E"/>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EA226E"/>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C2635BCA1EECA25178961D6B568020B0DE701F63E66BF8412E3BDGEOCO" TargetMode="External"/><Relationship Id="rId13" Type="http://schemas.openxmlformats.org/officeDocument/2006/relationships/hyperlink" Target="consultantplus://offline/ref=2C2635BCA1EECA2517896BDAAB68020B09E40BF03033E88643B6B3E98BDC63507DA2E3401009092EG9O2O" TargetMode="External"/><Relationship Id="rId18" Type="http://schemas.openxmlformats.org/officeDocument/2006/relationships/hyperlink" Target="consultantplus://offline/ref=2C2635BCA1EECA2517896BDAAB68020B09E40BF03033E88643B6B3E98BDC63507DA2E3401009092EG9O2O" TargetMode="External"/><Relationship Id="rId26" Type="http://schemas.openxmlformats.org/officeDocument/2006/relationships/hyperlink" Target="consultantplus://offline/ref=2C2635BCA1EECA2517896BDAAB68020B09E508FB3037E88643B6B3E98BDC63507DA2E3401009092EG9O2O" TargetMode="External"/><Relationship Id="rId39"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hyperlink" Target="consultantplus://offline/ref=2C2635BCA1EECA2517896BDAAB68020B09EB0EF13138E88643B6B3E98BDC63507DA2E3401009092EG9OCO" TargetMode="External"/><Relationship Id="rId34" Type="http://schemas.openxmlformats.org/officeDocument/2006/relationships/hyperlink" Target="consultantplus://offline/ref=2C2635BCA1EECA2517896BDAAB68020B09E40BF03033E88643B6B3E98BDC63507DA2E3401009092EG9O2O" TargetMode="External"/><Relationship Id="rId7" Type="http://schemas.openxmlformats.org/officeDocument/2006/relationships/hyperlink" Target="consultantplus://offline/ref=2C2635BCA1EECA25178962C3AC68020B0DE50DF63332E88643B6B3E98BGDOCO" TargetMode="External"/><Relationship Id="rId12" Type="http://schemas.openxmlformats.org/officeDocument/2006/relationships/hyperlink" Target="consultantplus://offline/ref=2C2635BCA1EECA25178962C3AC68020B0DE10FF53532E88643B6B3E98BDC63507DA2E34010090928G9ODO" TargetMode="External"/><Relationship Id="rId17" Type="http://schemas.openxmlformats.org/officeDocument/2006/relationships/hyperlink" Target="consultantplus://offline/ref=2C2635BCA1EECA2517896BDAAB68020B09EB0EF13138E88643B6B3E98BDC63507DA2E3401009092EG9OCO" TargetMode="External"/><Relationship Id="rId25" Type="http://schemas.openxmlformats.org/officeDocument/2006/relationships/hyperlink" Target="consultantplus://offline/ref=2C2635BCA1EECA2517896BDAAB68020B09E40BF03033E88643B6B3E98BDC63507DA2E3401009092EG9O2O" TargetMode="External"/><Relationship Id="rId33" Type="http://schemas.openxmlformats.org/officeDocument/2006/relationships/hyperlink" Target="consultantplus://offline/ref=2C2635BCA1EECA2517896BDAAB68020B09EB0EF13138E88643B6B3E98BDC63507DA2E3401009092EG9OCO" TargetMode="External"/><Relationship Id="rId38"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consultantplus://offline/ref=2C2635BCA1EECA25178962C3AC68020B0DE10FF53532E88643B6B3E98BDC63507DA2E3401009092EG9O5O" TargetMode="External"/><Relationship Id="rId20" Type="http://schemas.openxmlformats.org/officeDocument/2006/relationships/hyperlink" Target="consultantplus://offline/ref=2C2635BCA1EECA2517896BDAAB68020B09E40BF03033E88643B6B3E98BDC63507DA2E3401009092EG9O2O" TargetMode="External"/><Relationship Id="rId29" Type="http://schemas.openxmlformats.org/officeDocument/2006/relationships/hyperlink" Target="consultantplus://offline/ref=2C2635BCA1EECA2517896BDAAB68020B09EB0EF13138E88643B6B3E98BDC63507DA2E3401009092EG9OCO" TargetMode="External"/><Relationship Id="rId1" Type="http://schemas.openxmlformats.org/officeDocument/2006/relationships/styles" Target="styles.xml"/><Relationship Id="rId6" Type="http://schemas.openxmlformats.org/officeDocument/2006/relationships/hyperlink" Target="consultantplus://offline/ref=2C2635BCA1EECA2517897DD6A968020B0EE50CF7373BB58C4BEFBFEBG8OCO" TargetMode="External"/><Relationship Id="rId11" Type="http://schemas.openxmlformats.org/officeDocument/2006/relationships/hyperlink" Target="consultantplus://offline/ref=2C2635BCA1EECA25178962C3AC68020B0DE50FF03230E88643B6B3E98BGDOCO" TargetMode="External"/><Relationship Id="rId24" Type="http://schemas.openxmlformats.org/officeDocument/2006/relationships/hyperlink" Target="consultantplus://offline/ref=2C2635BCA1EECA2517896BDAAB68020B09EB0EF13138E88643B6B3E98BDC63507DA2E3401009092EG9OCO" TargetMode="External"/><Relationship Id="rId32" Type="http://schemas.openxmlformats.org/officeDocument/2006/relationships/hyperlink" Target="consultantplus://offline/ref=2C2635BCA1EECA2517896BDAAB68020B09EB0EF13138E88643B6B3E98BDC63507DA2E3401009092EG9OCO" TargetMode="External"/><Relationship Id="rId37" Type="http://schemas.openxmlformats.org/officeDocument/2006/relationships/hyperlink" Target="consultantplus://offline/ref=2C2635BCA1EECA2517896BDAAB68020B09E508FB3037E88643B6B3E98BDC63507DA2E3401009092EG9O2O" TargetMode="External"/><Relationship Id="rId5" Type="http://schemas.openxmlformats.org/officeDocument/2006/relationships/hyperlink" Target="consultantplus://offline/ref=2C2635BCA1EECA25178962C3AC68020B0EEA0EF13539E88643B6B3E98BDC63507DA2E34010090828G9O6O" TargetMode="External"/><Relationship Id="rId15" Type="http://schemas.openxmlformats.org/officeDocument/2006/relationships/hyperlink" Target="consultantplus://offline/ref=2C2635BCA1EECA2517896BDAAB68020B09E508FB3037E88643B6B3E98BDC63507DA2E3401009092EG9O2O" TargetMode="External"/><Relationship Id="rId23" Type="http://schemas.openxmlformats.org/officeDocument/2006/relationships/hyperlink" Target="consultantplus://offline/ref=2C2635BCA1EECA2517896BDAAB68020B09EB0EF13138E88643B6B3E98BDC63507DA2E3401009092EG9OCO" TargetMode="External"/><Relationship Id="rId28" Type="http://schemas.openxmlformats.org/officeDocument/2006/relationships/hyperlink" Target="consultantplus://offline/ref=2C2635BCA1EECA2517896BDAAB68020B09E40BF03033E88643B6B3E98BDC63507DA2E3401009092EG9O2O" TargetMode="External"/><Relationship Id="rId36" Type="http://schemas.openxmlformats.org/officeDocument/2006/relationships/hyperlink" Target="consultantplus://offline/ref=2C2635BCA1EECA2517896BDAAB68020B09E508FB3037E88643B6B3E98BDC63507DA2E3401009092EG9O2O" TargetMode="External"/><Relationship Id="rId10" Type="http://schemas.openxmlformats.org/officeDocument/2006/relationships/hyperlink" Target="consultantplus://offline/ref=2C2635BCA1EECA25178961D6B568020B0AEA0BF53E66BF8412E3BDGEOCO" TargetMode="External"/><Relationship Id="rId19" Type="http://schemas.openxmlformats.org/officeDocument/2006/relationships/hyperlink" Target="consultantplus://offline/ref=2C2635BCA1EECA2517896BDAAB68020B09E508FB3037E88643B6B3E98BDC63507DA2E3401009092EG9O2O" TargetMode="External"/><Relationship Id="rId31" Type="http://schemas.openxmlformats.org/officeDocument/2006/relationships/hyperlink" Target="consultantplus://offline/ref=2C2635BCA1EECA2517896BDAAB68020B09EB0EF13138E88643B6B3E98BDC63507DA2E3401009092EG9OCO" TargetMode="External"/><Relationship Id="rId4" Type="http://schemas.openxmlformats.org/officeDocument/2006/relationships/hyperlink" Target="consultantplus://offline/ref=2C2635BCA1EECA25178962C3AC68020B0EE60FF53039E88643B6B3E98BDC63507DA2E3401009092EG9O4O" TargetMode="External"/><Relationship Id="rId9" Type="http://schemas.openxmlformats.org/officeDocument/2006/relationships/hyperlink" Target="consultantplus://offline/ref=2C2635BCA1EECA25178962C3AC68020B0DE50DF63730E88643B6B3E98BGDOCO" TargetMode="External"/><Relationship Id="rId14" Type="http://schemas.openxmlformats.org/officeDocument/2006/relationships/hyperlink" Target="consultantplus://offline/ref=2C2635BCA1EECA2517896BDAAB68020B09EB0EF13138E88643B6B3E98BDC63507DA2E3401009092EG9OCO" TargetMode="External"/><Relationship Id="rId22" Type="http://schemas.openxmlformats.org/officeDocument/2006/relationships/hyperlink" Target="consultantplus://offline/ref=2C2635BCA1EECA2517896BDAAB68020B09E508FB3037E88643B6B3E98BDC63507DA2E3401009092EG9O2O" TargetMode="External"/><Relationship Id="rId27" Type="http://schemas.openxmlformats.org/officeDocument/2006/relationships/hyperlink" Target="consultantplus://offline/ref=2C2635BCA1EECA2517896BDAAB68020B09EB0EF13138E88643B6B3E98BDC63507DA2E3401009092EG9OCO" TargetMode="External"/><Relationship Id="rId30" Type="http://schemas.openxmlformats.org/officeDocument/2006/relationships/hyperlink" Target="consultantplus://offline/ref=2C2635BCA1EECA2517896BDAAB68020B09E508FB3037E88643B6B3E98BDC63507DA2E3401009092EG9O2O" TargetMode="External"/><Relationship Id="rId35" Type="http://schemas.openxmlformats.org/officeDocument/2006/relationships/hyperlink" Target="consultantplus://offline/ref=2C2635BCA1EECA2517896BDAAB68020B09EB0EF13138E88643B6B3E98BDC63507DA2E3401009092EG9OC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22</Pages>
  <Words>9206</Words>
  <Characters>52480</Characters>
  <Application>Microsoft Office Word</Application>
  <DocSecurity>0</DocSecurity>
  <Lines>437</Lines>
  <Paragraphs>123</Paragraphs>
  <ScaleCrop>false</ScaleCrop>
  <Company/>
  <LinksUpToDate>false</LinksUpToDate>
  <CharactersWithSpaces>61563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Shiller_OB</dc:creator>
  <cp:lastModifiedBy>Shiller_OB</cp:lastModifiedBy>
  <cp:revision>2</cp:revision>
  <dcterms:created xsi:type="dcterms:W3CDTF">2017-12-18T14:14:00Z</dcterms:created>
  <dcterms:modified xsi:type="dcterms:W3CDTF">2017-12-18T14:17:00Z</dcterms:modified>
</cp:coreProperties>
</file>